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A59FB" w14:textId="77777777" w:rsidR="002A4613" w:rsidRPr="00137B4C" w:rsidRDefault="00B741BC" w:rsidP="003E58C3">
      <w:pPr>
        <w:spacing w:line="259" w:lineRule="auto"/>
        <w:rPr>
          <w:rFonts w:ascii="Arial" w:eastAsia="Arial" w:hAnsi="Arial" w:cs="Arial"/>
          <w:b/>
          <w:color w:val="1A3866"/>
          <w:kern w:val="2"/>
          <w:sz w:val="28"/>
          <w:szCs w:val="24"/>
          <w14:ligatures w14:val="standardContextual"/>
        </w:rPr>
      </w:pPr>
      <w:r w:rsidRPr="00B741BC">
        <w:rPr>
          <w:rFonts w:ascii="Arial" w:eastAsia="Arial" w:hAnsi="Arial" w:cs="Arial"/>
          <w:noProof/>
          <w:color w:val="000000"/>
          <w:kern w:val="2"/>
          <w:szCs w:val="24"/>
          <w14:ligatures w14:val="standardContextual"/>
        </w:rPr>
        <w:drawing>
          <wp:anchor distT="0" distB="0" distL="114300" distR="114300" simplePos="0" relativeHeight="251659264" behindDoc="0" locked="0" layoutInCell="1" allowOverlap="0" wp14:anchorId="00A7EE52" wp14:editId="7791D2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55850" cy="733320"/>
            <wp:effectExtent l="0" t="0" r="6350" b="0"/>
            <wp:wrapSquare wrapText="bothSides"/>
            <wp:docPr id="10" name="Picture 10" descr="A blue text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blue text on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73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7B4C">
        <w:rPr>
          <w:rFonts w:ascii="Arial" w:eastAsia="Arial" w:hAnsi="Arial" w:cs="Arial"/>
          <w:b/>
          <w:color w:val="1A3866"/>
          <w:kern w:val="2"/>
          <w:sz w:val="28"/>
          <w:szCs w:val="24"/>
          <w14:ligatures w14:val="standardContextual"/>
        </w:rPr>
        <w:t xml:space="preserve"> </w:t>
      </w:r>
      <w:r w:rsidR="004A0864" w:rsidRPr="00137B4C">
        <w:rPr>
          <w:rFonts w:ascii="Arial" w:eastAsia="Arial" w:hAnsi="Arial" w:cs="Arial"/>
          <w:b/>
          <w:color w:val="1A3866"/>
          <w:kern w:val="2"/>
          <w:sz w:val="28"/>
          <w:szCs w:val="24"/>
          <w14:ligatures w14:val="standardContextual"/>
        </w:rPr>
        <w:tab/>
      </w:r>
      <w:r w:rsidR="004A0864" w:rsidRPr="00137B4C">
        <w:rPr>
          <w:rFonts w:ascii="Arial" w:eastAsia="Arial" w:hAnsi="Arial" w:cs="Arial"/>
          <w:b/>
          <w:color w:val="1A3866"/>
          <w:kern w:val="2"/>
          <w:sz w:val="28"/>
          <w:szCs w:val="24"/>
          <w14:ligatures w14:val="standardContextual"/>
        </w:rPr>
        <w:tab/>
      </w:r>
      <w:r w:rsidR="004A0864" w:rsidRPr="00137B4C">
        <w:rPr>
          <w:rFonts w:ascii="Arial" w:eastAsia="Arial" w:hAnsi="Arial" w:cs="Arial"/>
          <w:b/>
          <w:color w:val="1A3866"/>
          <w:kern w:val="2"/>
          <w:sz w:val="28"/>
          <w:szCs w:val="24"/>
          <w14:ligatures w14:val="standardContextual"/>
        </w:rPr>
        <w:tab/>
      </w:r>
      <w:r w:rsidR="004A0864" w:rsidRPr="00137B4C">
        <w:rPr>
          <w:rFonts w:ascii="Arial" w:eastAsia="Arial" w:hAnsi="Arial" w:cs="Arial"/>
          <w:b/>
          <w:color w:val="1A3866"/>
          <w:kern w:val="2"/>
          <w:sz w:val="28"/>
          <w:szCs w:val="24"/>
          <w14:ligatures w14:val="standardContextual"/>
        </w:rPr>
        <w:tab/>
        <w:t xml:space="preserve">        </w:t>
      </w:r>
    </w:p>
    <w:p w14:paraId="0912FB5E" w14:textId="2F41C29D" w:rsidR="00137B4C" w:rsidRPr="00137B4C" w:rsidRDefault="00137B4C" w:rsidP="002A4613">
      <w:pPr>
        <w:spacing w:line="259" w:lineRule="auto"/>
        <w:jc w:val="right"/>
        <w:rPr>
          <w:rFonts w:ascii="Arial" w:eastAsia="Arial" w:hAnsi="Arial" w:cs="Arial"/>
          <w:b/>
          <w:color w:val="1A3866"/>
          <w:kern w:val="2"/>
          <w:sz w:val="28"/>
          <w:szCs w:val="24"/>
          <w14:ligatures w14:val="standardContextual"/>
        </w:rPr>
      </w:pPr>
      <w:r w:rsidRPr="00137B4C">
        <w:rPr>
          <w:rFonts w:ascii="Arial" w:eastAsia="Arial" w:hAnsi="Arial" w:cs="Arial"/>
          <w:b/>
          <w:color w:val="1A3866"/>
          <w:kern w:val="2"/>
          <w:sz w:val="28"/>
          <w:szCs w:val="24"/>
          <w14:ligatures w14:val="standardContextual"/>
        </w:rPr>
        <w:t>FY25 Defense Approp</w:t>
      </w:r>
      <w:r>
        <w:rPr>
          <w:rFonts w:ascii="Arial" w:eastAsia="Arial" w:hAnsi="Arial" w:cs="Arial"/>
          <w:b/>
          <w:color w:val="1A3866"/>
          <w:kern w:val="2"/>
          <w:sz w:val="28"/>
          <w:szCs w:val="24"/>
          <w14:ligatures w14:val="standardContextual"/>
        </w:rPr>
        <w:t>riations</w:t>
      </w:r>
    </w:p>
    <w:p w14:paraId="321BCB90" w14:textId="114116C3" w:rsidR="003E58C3" w:rsidRPr="00137B4C" w:rsidRDefault="002A4613" w:rsidP="002A4613">
      <w:pPr>
        <w:spacing w:line="259" w:lineRule="auto"/>
        <w:jc w:val="right"/>
        <w:rPr>
          <w:rFonts w:ascii="Arial" w:eastAsia="Arial" w:hAnsi="Arial" w:cs="Arial"/>
          <w:color w:val="000000"/>
          <w:kern w:val="2"/>
          <w:szCs w:val="24"/>
          <w14:ligatures w14:val="standardContextual"/>
        </w:rPr>
      </w:pPr>
      <w:r w:rsidRPr="00137B4C">
        <w:rPr>
          <w:rFonts w:ascii="Arial" w:eastAsia="Arial" w:hAnsi="Arial" w:cs="Arial"/>
          <w:b/>
          <w:color w:val="1A3866"/>
          <w:kern w:val="2"/>
          <w:sz w:val="28"/>
          <w:szCs w:val="24"/>
          <w14:ligatures w14:val="standardContextual"/>
        </w:rPr>
        <w:t>Memorandum</w:t>
      </w:r>
      <w:r w:rsidR="0027723B" w:rsidRPr="00137B4C">
        <w:rPr>
          <w:rFonts w:ascii="Arial" w:eastAsia="Arial" w:hAnsi="Arial" w:cs="Arial"/>
          <w:b/>
          <w:color w:val="1A3866"/>
          <w:kern w:val="2"/>
          <w:sz w:val="28"/>
          <w:szCs w:val="24"/>
          <w14:ligatures w14:val="standardContextual"/>
        </w:rPr>
        <w:t xml:space="preserve"> </w:t>
      </w:r>
      <w:r w:rsidR="0027723B" w:rsidRPr="00137B4C">
        <w:rPr>
          <w:rFonts w:ascii="Arial" w:eastAsia="Arial" w:hAnsi="Arial" w:cs="Arial"/>
          <w:b/>
          <w:bCs/>
          <w:color w:val="1A3866"/>
          <w:kern w:val="2"/>
          <w:sz w:val="28"/>
          <w:szCs w:val="28"/>
          <w14:ligatures w14:val="standardContextual"/>
        </w:rPr>
        <w:t>|</w:t>
      </w:r>
      <w:r w:rsidRPr="00137B4C">
        <w:rPr>
          <w:rFonts w:ascii="Arial" w:eastAsia="Arial" w:hAnsi="Arial" w:cs="Arial"/>
          <w:b/>
          <w:color w:val="1A3866"/>
          <w:kern w:val="2"/>
          <w:sz w:val="28"/>
          <w:szCs w:val="24"/>
          <w14:ligatures w14:val="standardContextual"/>
        </w:rPr>
        <w:t xml:space="preserve"> </w:t>
      </w:r>
      <w:r w:rsidR="0027723B" w:rsidRPr="00137B4C">
        <w:rPr>
          <w:rFonts w:ascii="Arial" w:eastAsia="Arial" w:hAnsi="Arial" w:cs="Arial"/>
          <w:b/>
          <w:color w:val="1A3866"/>
          <w:kern w:val="2"/>
          <w:sz w:val="28"/>
          <w:szCs w:val="24"/>
          <w14:ligatures w14:val="standardContextual"/>
        </w:rPr>
        <w:t>18 June 2024</w:t>
      </w:r>
      <w:r w:rsidRPr="00137B4C">
        <w:rPr>
          <w:rFonts w:ascii="Arial" w:eastAsia="Arial" w:hAnsi="Arial" w:cs="Arial"/>
          <w:b/>
          <w:color w:val="1A3866"/>
          <w:kern w:val="2"/>
          <w:sz w:val="28"/>
          <w:szCs w:val="24"/>
          <w14:ligatures w14:val="standardContextual"/>
        </w:rPr>
        <w:t xml:space="preserve">       </w:t>
      </w:r>
    </w:p>
    <w:p w14:paraId="021DAAA3" w14:textId="77777777" w:rsidR="002A4613" w:rsidRPr="00137B4C" w:rsidRDefault="002A4613" w:rsidP="002A4613">
      <w:pPr>
        <w:spacing w:line="259" w:lineRule="auto"/>
        <w:ind w:left="10" w:right="61" w:hanging="10"/>
        <w:rPr>
          <w:rFonts w:ascii="Arial" w:eastAsia="Arial" w:hAnsi="Arial" w:cs="Arial"/>
          <w:b/>
          <w:color w:val="1A3866"/>
          <w:kern w:val="2"/>
          <w14:ligatures w14:val="standardContextual"/>
        </w:rPr>
      </w:pPr>
    </w:p>
    <w:p w14:paraId="0CC4E3B7" w14:textId="05DD0249" w:rsidR="00B741BC" w:rsidRPr="00390879" w:rsidRDefault="00B741BC" w:rsidP="002A4613">
      <w:pPr>
        <w:spacing w:line="259" w:lineRule="auto"/>
        <w:ind w:left="10" w:right="61" w:hanging="10"/>
        <w:rPr>
          <w:rFonts w:ascii="Arial" w:eastAsia="Arial" w:hAnsi="Arial" w:cs="Arial"/>
          <w:b/>
          <w:color w:val="1A3866"/>
          <w:kern w:val="2"/>
          <w14:ligatures w14:val="standardContextual"/>
        </w:rPr>
      </w:pPr>
      <w:r w:rsidRPr="00B741BC">
        <w:rPr>
          <w:rFonts w:ascii="Arial" w:eastAsia="Arial" w:hAnsi="Arial" w:cs="Arial"/>
          <w:b/>
          <w:color w:val="1A3866"/>
          <w:kern w:val="2"/>
          <w14:ligatures w14:val="standardContextual"/>
        </w:rPr>
        <w:t xml:space="preserve">BLUF: </w:t>
      </w:r>
      <w:r w:rsidRPr="00B741BC">
        <w:rPr>
          <w:rFonts w:ascii="Arial" w:eastAsia="Arial" w:hAnsi="Arial" w:cs="Arial"/>
          <w:color w:val="000000"/>
          <w:kern w:val="2"/>
          <w14:ligatures w14:val="standardContextual"/>
        </w:rPr>
        <w:t xml:space="preserve">On June 5th, </w:t>
      </w:r>
      <w:r w:rsidR="00464CBA" w:rsidRPr="00FC3FEC">
        <w:rPr>
          <w:rFonts w:ascii="Arial" w:eastAsia="Arial" w:hAnsi="Arial" w:cs="Arial"/>
          <w:color w:val="000000"/>
          <w:kern w:val="2"/>
          <w14:ligatures w14:val="standardContextual"/>
        </w:rPr>
        <w:t>t</w:t>
      </w:r>
      <w:r w:rsidR="00135AA6" w:rsidRPr="00FC3FEC">
        <w:rPr>
          <w:rFonts w:ascii="Arial" w:eastAsia="Arial" w:hAnsi="Arial" w:cs="Arial"/>
          <w:color w:val="000000"/>
          <w:kern w:val="2"/>
          <w14:ligatures w14:val="standardContextual"/>
        </w:rPr>
        <w:t xml:space="preserve">he House of Representatives passed </w:t>
      </w:r>
      <w:r w:rsidR="00135AA6" w:rsidRPr="00FC3FEC">
        <w:rPr>
          <w:rFonts w:ascii="Arial" w:eastAsia="Arial" w:hAnsi="Arial" w:cs="Arial"/>
          <w:i/>
          <w:iCs/>
          <w:color w:val="000000"/>
          <w:kern w:val="2"/>
          <w14:ligatures w14:val="standardContextual"/>
        </w:rPr>
        <w:t xml:space="preserve">H.R.8050 – Military Construction, Veteran Affairs, and Related Agencies Appropriations Act, 2025 </w:t>
      </w:r>
      <w:r w:rsidR="00135AA6" w:rsidRPr="00FC3FEC">
        <w:rPr>
          <w:rFonts w:ascii="Arial" w:eastAsia="Arial" w:hAnsi="Arial" w:cs="Arial"/>
          <w:color w:val="000000"/>
          <w:kern w:val="2"/>
          <w14:ligatures w14:val="standardContextual"/>
        </w:rPr>
        <w:t>in a 209-197 vote.</w:t>
      </w:r>
      <w:r w:rsidR="00F36427" w:rsidRPr="00FC3FEC">
        <w:rPr>
          <w:rFonts w:ascii="Arial" w:eastAsia="Arial" w:hAnsi="Arial" w:cs="Arial"/>
          <w:color w:val="000000"/>
          <w:kern w:val="2"/>
          <w14:ligatures w14:val="standardContextual"/>
        </w:rPr>
        <w:t xml:space="preserve"> This bill authorizes $37</w:t>
      </w:r>
      <w:r w:rsidR="00F106BC" w:rsidRPr="00FC3FEC">
        <w:rPr>
          <w:rFonts w:ascii="Arial" w:eastAsia="Arial" w:hAnsi="Arial" w:cs="Arial"/>
          <w:color w:val="000000"/>
          <w:kern w:val="2"/>
          <w14:ligatures w14:val="standardContextual"/>
        </w:rPr>
        <w:t>8.6</w:t>
      </w:r>
      <w:r w:rsidR="00F36427" w:rsidRPr="00FC3FEC">
        <w:rPr>
          <w:rFonts w:ascii="Arial" w:eastAsia="Arial" w:hAnsi="Arial" w:cs="Arial"/>
          <w:color w:val="000000"/>
          <w:kern w:val="2"/>
          <w14:ligatures w14:val="standardContextual"/>
        </w:rPr>
        <w:t>B for Fiscal Year (FY) 2025 programs and activities</w:t>
      </w:r>
      <w:r w:rsidR="009B74DD" w:rsidRPr="00FC3FEC">
        <w:rPr>
          <w:rFonts w:ascii="Arial" w:eastAsia="Arial" w:hAnsi="Arial" w:cs="Arial"/>
          <w:color w:val="000000"/>
          <w:kern w:val="2"/>
          <w14:ligatures w14:val="standardContextual"/>
        </w:rPr>
        <w:t>, an increase of $769M from the President’s Request Budget.</w:t>
      </w:r>
      <w:r w:rsidR="009B74DD" w:rsidRPr="00FC3FEC">
        <w:rPr>
          <w:rFonts w:ascii="Arial" w:hAnsi="Arial" w:cs="Arial"/>
        </w:rPr>
        <w:t xml:space="preserve"> </w:t>
      </w:r>
      <w:r w:rsidRPr="00B741BC">
        <w:rPr>
          <w:rFonts w:ascii="Arial" w:eastAsia="Arial" w:hAnsi="Arial" w:cs="Arial"/>
          <w:b/>
          <w:color w:val="000000"/>
          <w:kern w:val="2"/>
          <w14:ligatures w14:val="standardContextual"/>
        </w:rPr>
        <w:t>Next Step:</w:t>
      </w:r>
      <w:r w:rsidRPr="00B741BC">
        <w:rPr>
          <w:rFonts w:ascii="Arial" w:eastAsia="Arial" w:hAnsi="Arial" w:cs="Arial"/>
          <w:bCs/>
          <w:color w:val="000000"/>
          <w:kern w:val="2"/>
          <w14:ligatures w14:val="standardContextual"/>
        </w:rPr>
        <w:t xml:space="preserve"> T</w:t>
      </w:r>
      <w:r w:rsidR="00800AC4" w:rsidRPr="00FC3FEC">
        <w:rPr>
          <w:rFonts w:ascii="Arial" w:eastAsia="Arial" w:hAnsi="Arial" w:cs="Arial"/>
          <w:bCs/>
          <w:color w:val="000000"/>
          <w:kern w:val="2"/>
          <w14:ligatures w14:val="standardContextual"/>
        </w:rPr>
        <w:t>he bill was received by the U.S. Senate on June 11, 2024</w:t>
      </w:r>
      <w:r w:rsidR="00FC3FEC">
        <w:rPr>
          <w:rFonts w:ascii="Arial" w:eastAsia="Arial" w:hAnsi="Arial" w:cs="Arial"/>
          <w:bCs/>
          <w:color w:val="000000"/>
          <w:kern w:val="2"/>
          <w14:ligatures w14:val="standardContextual"/>
        </w:rPr>
        <w:t>,</w:t>
      </w:r>
      <w:r w:rsidR="00FA3579" w:rsidRPr="00FC3FEC">
        <w:rPr>
          <w:rFonts w:ascii="Arial" w:eastAsia="Arial" w:hAnsi="Arial" w:cs="Arial"/>
          <w:bCs/>
          <w:color w:val="000000"/>
          <w:kern w:val="2"/>
          <w14:ligatures w14:val="standardContextual"/>
        </w:rPr>
        <w:t xml:space="preserve"> and </w:t>
      </w:r>
      <w:r w:rsidR="00137B4C">
        <w:rPr>
          <w:rFonts w:ascii="Arial" w:eastAsia="Arial" w:hAnsi="Arial" w:cs="Arial"/>
          <w:bCs/>
          <w:color w:val="000000"/>
          <w:kern w:val="2"/>
          <w14:ligatures w14:val="standardContextual"/>
        </w:rPr>
        <w:t xml:space="preserve">will be </w:t>
      </w:r>
      <w:r w:rsidR="00FA3579" w:rsidRPr="00FC3FEC">
        <w:rPr>
          <w:rFonts w:ascii="Arial" w:eastAsia="Arial" w:hAnsi="Arial" w:cs="Arial"/>
          <w:bCs/>
          <w:color w:val="000000"/>
          <w:kern w:val="2"/>
          <w14:ligatures w14:val="standardContextual"/>
        </w:rPr>
        <w:t>considered in the upcoming weeks.</w:t>
      </w:r>
    </w:p>
    <w:p w14:paraId="7860AB7C" w14:textId="77777777" w:rsidR="00B741BC" w:rsidRPr="00B741BC" w:rsidRDefault="00B741BC" w:rsidP="00B741BC">
      <w:pPr>
        <w:spacing w:line="259" w:lineRule="auto"/>
        <w:rPr>
          <w:rFonts w:ascii="Arial" w:eastAsia="Arial" w:hAnsi="Arial" w:cs="Arial"/>
          <w:color w:val="000000"/>
          <w:kern w:val="2"/>
          <w:szCs w:val="24"/>
          <w14:ligatures w14:val="standardContextual"/>
        </w:rPr>
      </w:pPr>
      <w:r w:rsidRPr="00B741BC">
        <w:rPr>
          <w:rFonts w:ascii="Arial" w:eastAsia="Arial" w:hAnsi="Arial" w:cs="Arial"/>
          <w:color w:val="000000"/>
          <w:kern w:val="2"/>
          <w:szCs w:val="24"/>
          <w14:ligatures w14:val="standardContextual"/>
        </w:rPr>
        <w:t xml:space="preserve"> </w:t>
      </w:r>
    </w:p>
    <w:p w14:paraId="2F9FA33E" w14:textId="77777777" w:rsidR="00B741BC" w:rsidRPr="00B741BC" w:rsidRDefault="00B741BC" w:rsidP="00B741BC">
      <w:pPr>
        <w:spacing w:line="259" w:lineRule="auto"/>
        <w:rPr>
          <w:rFonts w:ascii="Arial" w:eastAsia="Arial" w:hAnsi="Arial" w:cs="Arial"/>
          <w:color w:val="000000"/>
          <w:kern w:val="2"/>
          <w:szCs w:val="24"/>
          <w14:ligatures w14:val="standardContextual"/>
        </w:rPr>
      </w:pPr>
      <w:r w:rsidRPr="00B741BC">
        <w:rPr>
          <w:rFonts w:ascii="Arial" w:eastAsia="Arial" w:hAnsi="Arial" w:cs="Arial"/>
          <w:b/>
          <w:color w:val="1A3866"/>
          <w:kern w:val="2"/>
          <w:sz w:val="20"/>
          <w:szCs w:val="24"/>
          <w14:ligatures w14:val="standardContextual"/>
        </w:rPr>
        <w:t xml:space="preserve">Defense Authorizations </w:t>
      </w:r>
    </w:p>
    <w:tbl>
      <w:tblPr>
        <w:tblStyle w:val="TableGrid1"/>
        <w:tblW w:w="9374" w:type="dxa"/>
        <w:tblInd w:w="-14" w:type="dxa"/>
        <w:tblCellMar>
          <w:top w:w="39" w:type="dxa"/>
          <w:bottom w:w="4" w:type="dxa"/>
          <w:right w:w="188" w:type="dxa"/>
        </w:tblCellMar>
        <w:tblLook w:val="04A0" w:firstRow="1" w:lastRow="0" w:firstColumn="1" w:lastColumn="0" w:noHBand="0" w:noVBand="1"/>
      </w:tblPr>
      <w:tblGrid>
        <w:gridCol w:w="1605"/>
        <w:gridCol w:w="1338"/>
        <w:gridCol w:w="1222"/>
        <w:gridCol w:w="1337"/>
        <w:gridCol w:w="1426"/>
        <w:gridCol w:w="1342"/>
        <w:gridCol w:w="1104"/>
      </w:tblGrid>
      <w:tr w:rsidR="00B741BC" w:rsidRPr="00B741BC" w14:paraId="539C999D" w14:textId="77777777" w:rsidTr="00BE1732">
        <w:trPr>
          <w:trHeight w:val="746"/>
        </w:trPr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464A48" w14:textId="77777777" w:rsidR="00B741BC" w:rsidRPr="00B741BC" w:rsidRDefault="00B741BC" w:rsidP="00B741BC">
            <w:pPr>
              <w:spacing w:line="259" w:lineRule="auto"/>
              <w:ind w:left="252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President’s </w:t>
            </w:r>
          </w:p>
          <w:p w14:paraId="159C6DF2" w14:textId="77777777" w:rsidR="00B741BC" w:rsidRPr="00B741BC" w:rsidRDefault="00B741BC" w:rsidP="00B741BC">
            <w:pPr>
              <w:spacing w:line="259" w:lineRule="auto"/>
              <w:ind w:left="408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Budget </w:t>
            </w:r>
          </w:p>
          <w:p w14:paraId="2D32A2D3" w14:textId="77777777" w:rsidR="00B741BC" w:rsidRPr="00B741BC" w:rsidRDefault="00B741BC" w:rsidP="00B741BC">
            <w:pPr>
              <w:spacing w:line="259" w:lineRule="auto"/>
              <w:ind w:left="382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Release 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9D3E30" w14:textId="77777777" w:rsidR="00B741BC" w:rsidRPr="00B741BC" w:rsidRDefault="00B741BC" w:rsidP="00B741BC">
            <w:pPr>
              <w:spacing w:line="259" w:lineRule="auto"/>
              <w:ind w:left="168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House </w:t>
            </w:r>
          </w:p>
          <w:p w14:paraId="4D67807E" w14:textId="77777777" w:rsidR="00B741BC" w:rsidRPr="00B741BC" w:rsidRDefault="00B741BC" w:rsidP="00B741BC">
            <w:pPr>
              <w:spacing w:line="259" w:lineRule="auto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Committee </w:t>
            </w:r>
          </w:p>
          <w:p w14:paraId="16B93F70" w14:textId="77777777" w:rsidR="00B741BC" w:rsidRPr="00B741BC" w:rsidRDefault="00B741BC" w:rsidP="00B741BC">
            <w:pPr>
              <w:spacing w:line="259" w:lineRule="auto"/>
              <w:ind w:left="182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NDAA </w:t>
            </w:r>
          </w:p>
          <w:p w14:paraId="5BC3611C" w14:textId="77777777" w:rsidR="00B741BC" w:rsidRPr="00B741BC" w:rsidRDefault="00B741BC" w:rsidP="00B741BC">
            <w:pPr>
              <w:spacing w:line="259" w:lineRule="auto"/>
              <w:ind w:left="134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(HASC) 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715C91" w14:textId="77777777" w:rsidR="00B741BC" w:rsidRPr="00B741BC" w:rsidRDefault="00B741BC" w:rsidP="00B741BC">
            <w:pPr>
              <w:spacing w:line="259" w:lineRule="auto"/>
              <w:ind w:left="151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Senate </w:t>
            </w:r>
          </w:p>
          <w:p w14:paraId="24F90802" w14:textId="77777777" w:rsidR="00B741BC" w:rsidRPr="00B741BC" w:rsidRDefault="00B741BC" w:rsidP="00B741BC">
            <w:pPr>
              <w:spacing w:line="259" w:lineRule="auto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Committee </w:t>
            </w:r>
          </w:p>
          <w:p w14:paraId="00B50CC6" w14:textId="77777777" w:rsidR="00B741BC" w:rsidRPr="00B741BC" w:rsidRDefault="00B741BC" w:rsidP="00B741BC">
            <w:pPr>
              <w:spacing w:line="259" w:lineRule="auto"/>
              <w:ind w:left="182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NDAA </w:t>
            </w:r>
          </w:p>
          <w:p w14:paraId="3CB7A574" w14:textId="77777777" w:rsidR="00B741BC" w:rsidRPr="00B741BC" w:rsidRDefault="00B741BC" w:rsidP="00B741BC">
            <w:pPr>
              <w:spacing w:line="259" w:lineRule="auto"/>
              <w:ind w:left="137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(SASC)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C531C58" w14:textId="77777777" w:rsidR="00B741BC" w:rsidRPr="00B741BC" w:rsidRDefault="00B741BC" w:rsidP="00B741BC">
            <w:pPr>
              <w:spacing w:line="259" w:lineRule="auto"/>
              <w:ind w:firstLine="94"/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>Full House- passed NDAA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B735308" w14:textId="77777777" w:rsidR="00B741BC" w:rsidRPr="00B741BC" w:rsidRDefault="00B741BC" w:rsidP="00B741BC">
            <w:pPr>
              <w:spacing w:line="259" w:lineRule="auto"/>
              <w:ind w:firstLine="74"/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>Full Senate- passed NDAA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452583" w14:textId="77777777" w:rsidR="00B741BC" w:rsidRPr="00B741BC" w:rsidRDefault="00B741BC" w:rsidP="00B741BC">
            <w:pPr>
              <w:spacing w:line="259" w:lineRule="auto"/>
              <w:ind w:left="26" w:hanging="26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Conference Committee 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1BCD0A1" w14:textId="77777777" w:rsidR="00B741BC" w:rsidRPr="00B741BC" w:rsidRDefault="00B741BC" w:rsidP="00B741BC">
            <w:pPr>
              <w:spacing w:line="259" w:lineRule="auto"/>
              <w:ind w:left="278" w:hanging="278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Signed Into Law </w:t>
            </w:r>
          </w:p>
        </w:tc>
      </w:tr>
      <w:tr w:rsidR="00B741BC" w:rsidRPr="00B741BC" w14:paraId="720B5127" w14:textId="77777777" w:rsidTr="00BE1732">
        <w:trPr>
          <w:trHeight w:val="862"/>
        </w:trPr>
        <w:tc>
          <w:tcPr>
            <w:tcW w:w="2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BDEFCE" w14:textId="77777777" w:rsidR="00B741BC" w:rsidRPr="00B741BC" w:rsidRDefault="00B741BC" w:rsidP="00B741BC">
            <w:pPr>
              <w:tabs>
                <w:tab w:val="center" w:pos="735"/>
                <w:tab w:val="center" w:pos="1747"/>
              </w:tabs>
              <w:spacing w:line="259" w:lineRule="auto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color w:val="000000"/>
                <w:sz w:val="20"/>
              </w:rPr>
              <w:t xml:space="preserve">         </w:t>
            </w:r>
            <w:r w:rsidRPr="00B741BC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 </w:t>
            </w:r>
            <w:r w:rsidRPr="00B741BC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       </w:t>
            </w:r>
          </w:p>
          <w:p w14:paraId="46A58E86" w14:textId="77777777" w:rsidR="00B741BC" w:rsidRPr="00B741BC" w:rsidRDefault="00B741BC" w:rsidP="00B741BC">
            <w:pPr>
              <w:spacing w:after="167" w:line="259" w:lineRule="auto"/>
              <w:ind w:left="734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color w:val="000000"/>
                <w:sz w:val="18"/>
              </w:rPr>
              <w:t xml:space="preserve">               </w:t>
            </w:r>
          </w:p>
          <w:p w14:paraId="5859789B" w14:textId="77777777" w:rsidR="00B741BC" w:rsidRPr="00B741BC" w:rsidRDefault="00B741BC" w:rsidP="00B741BC">
            <w:pPr>
              <w:spacing w:line="259" w:lineRule="auto"/>
              <w:ind w:left="14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1A3866"/>
                <w:sz w:val="20"/>
              </w:rPr>
              <w:t xml:space="preserve">Defense Appropriations 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74A88C" w14:textId="77777777" w:rsidR="00B741BC" w:rsidRPr="00B741BC" w:rsidRDefault="00B741BC" w:rsidP="00B741BC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741B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</w:t>
            </w:r>
            <w:r w:rsidRPr="00B741BC">
              <w:rPr>
                <w:rFonts w:ascii="Arial" w:eastAsia="Arial" w:hAnsi="Arial" w:cs="Arial"/>
                <w:color w:val="000000"/>
                <w:sz w:val="20"/>
              </w:rPr>
              <w:t xml:space="preserve">▲   </w:t>
            </w:r>
            <w:r w:rsidRPr="00B741BC">
              <w:rPr>
                <w:rFonts w:ascii="Arial" w:eastAsia="Arial" w:hAnsi="Arial" w:cs="Arial"/>
                <w:color w:val="000000"/>
                <w:sz w:val="18"/>
                <w:szCs w:val="18"/>
              </w:rPr>
              <w:t>Current Point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7305AF" w14:textId="77777777" w:rsidR="00B741BC" w:rsidRPr="00B741BC" w:rsidRDefault="00B741BC" w:rsidP="00B741BC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ADEA1B" w14:textId="77777777" w:rsidR="00B741BC" w:rsidRPr="00B741BC" w:rsidRDefault="00B741BC" w:rsidP="00B741BC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2FAFE59" w14:textId="77777777" w:rsidR="00B741BC" w:rsidRPr="00B741BC" w:rsidRDefault="00B741BC" w:rsidP="00B741BC">
            <w:pPr>
              <w:spacing w:line="259" w:lineRule="auto"/>
              <w:ind w:left="902"/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FC95CB" w14:textId="77777777" w:rsidR="00B741BC" w:rsidRPr="00B741BC" w:rsidRDefault="00B741BC" w:rsidP="00B741BC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</w:rPr>
            </w:pPr>
          </w:p>
        </w:tc>
      </w:tr>
      <w:tr w:rsidR="00B741BC" w:rsidRPr="00B741BC" w14:paraId="3586622E" w14:textId="77777777" w:rsidTr="00BE1732">
        <w:trPr>
          <w:trHeight w:val="746"/>
        </w:trPr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353F27" w14:textId="77777777" w:rsidR="00B741BC" w:rsidRPr="00B741BC" w:rsidRDefault="00B741BC" w:rsidP="00B741BC">
            <w:pPr>
              <w:spacing w:line="259" w:lineRule="auto"/>
              <w:ind w:left="252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President’s </w:t>
            </w:r>
          </w:p>
          <w:p w14:paraId="10C489EC" w14:textId="77777777" w:rsidR="00B741BC" w:rsidRPr="00B741BC" w:rsidRDefault="00B741BC" w:rsidP="00B741BC">
            <w:pPr>
              <w:spacing w:line="259" w:lineRule="auto"/>
              <w:ind w:left="408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Budget </w:t>
            </w:r>
          </w:p>
          <w:p w14:paraId="5EEBD289" w14:textId="77777777" w:rsidR="00B741BC" w:rsidRPr="00B741BC" w:rsidRDefault="00B741BC" w:rsidP="00B741BC">
            <w:pPr>
              <w:spacing w:line="259" w:lineRule="auto"/>
              <w:ind w:left="382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Release 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F8CDA1" w14:textId="77777777" w:rsidR="00B741BC" w:rsidRPr="00B741BC" w:rsidRDefault="00B741BC" w:rsidP="00B741BC">
            <w:pPr>
              <w:spacing w:line="259" w:lineRule="auto"/>
              <w:ind w:left="168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House </w:t>
            </w:r>
          </w:p>
          <w:p w14:paraId="3EF556A1" w14:textId="77777777" w:rsidR="00B741BC" w:rsidRPr="00B741BC" w:rsidRDefault="00B741BC" w:rsidP="00B741BC">
            <w:pPr>
              <w:ind w:left="62" w:hanging="62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Committee Approps. </w:t>
            </w:r>
          </w:p>
          <w:p w14:paraId="650940B8" w14:textId="77777777" w:rsidR="00B741BC" w:rsidRPr="00B741BC" w:rsidRDefault="00B741BC" w:rsidP="00B741BC">
            <w:pPr>
              <w:spacing w:line="259" w:lineRule="auto"/>
              <w:ind w:left="103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(HAC-D) 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04B1B4" w14:textId="77777777" w:rsidR="00B741BC" w:rsidRPr="00B741BC" w:rsidRDefault="00B741BC" w:rsidP="00B741BC">
            <w:pPr>
              <w:spacing w:line="259" w:lineRule="auto"/>
              <w:ind w:left="151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Senate </w:t>
            </w:r>
          </w:p>
          <w:p w14:paraId="62221E94" w14:textId="77777777" w:rsidR="00B741BC" w:rsidRPr="00B741BC" w:rsidRDefault="00B741BC" w:rsidP="00B741BC">
            <w:pPr>
              <w:ind w:left="62" w:hanging="62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Committee Approps. </w:t>
            </w:r>
          </w:p>
          <w:p w14:paraId="51FC0BF3" w14:textId="77777777" w:rsidR="00B741BC" w:rsidRPr="00B741BC" w:rsidRDefault="00B741BC" w:rsidP="00B741BC">
            <w:pPr>
              <w:spacing w:line="259" w:lineRule="auto"/>
              <w:ind w:left="106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(SAC-D)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63509A" w14:textId="77777777" w:rsidR="00B741BC" w:rsidRPr="00B741BC" w:rsidRDefault="00B741BC" w:rsidP="00B741BC">
            <w:pPr>
              <w:ind w:left="252" w:hanging="158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>Full House- passed</w:t>
            </w:r>
          </w:p>
          <w:p w14:paraId="7618104A" w14:textId="77777777" w:rsidR="00B741BC" w:rsidRPr="00B741BC" w:rsidRDefault="00B741BC" w:rsidP="00B741BC">
            <w:pPr>
              <w:spacing w:line="259" w:lineRule="auto"/>
              <w:ind w:left="10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>Approps. Bill.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35D9C0" w14:textId="77777777" w:rsidR="00B741BC" w:rsidRPr="00B741BC" w:rsidRDefault="00B741BC" w:rsidP="00B741BC">
            <w:pPr>
              <w:ind w:left="252" w:hanging="178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>Full Senate- passed</w:t>
            </w:r>
          </w:p>
          <w:p w14:paraId="70EF5FC2" w14:textId="77777777" w:rsidR="00B741BC" w:rsidRPr="00B741BC" w:rsidRDefault="00B741BC" w:rsidP="00B741BC">
            <w:pPr>
              <w:spacing w:line="259" w:lineRule="auto"/>
              <w:ind w:left="31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>Approps. Bill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A397A7B" w14:textId="77777777" w:rsidR="00B741BC" w:rsidRPr="00B741BC" w:rsidRDefault="00B741BC" w:rsidP="00B741BC">
            <w:pPr>
              <w:spacing w:line="259" w:lineRule="auto"/>
              <w:ind w:left="26" w:hanging="26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>Conference Committee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A1C94D3" w14:textId="77777777" w:rsidR="00B741BC" w:rsidRPr="00B741BC" w:rsidRDefault="00B741BC" w:rsidP="00B741BC">
            <w:pPr>
              <w:spacing w:line="259" w:lineRule="auto"/>
              <w:ind w:left="278" w:hanging="278"/>
              <w:rPr>
                <w:rFonts w:ascii="Arial" w:eastAsia="Arial" w:hAnsi="Arial" w:cs="Arial"/>
                <w:color w:val="000000"/>
                <w:sz w:val="22"/>
              </w:rPr>
            </w:pPr>
            <w:r w:rsidRPr="00B741BC">
              <w:rPr>
                <w:rFonts w:ascii="Arial" w:eastAsia="Arial" w:hAnsi="Arial" w:cs="Arial"/>
                <w:b/>
                <w:color w:val="000000"/>
                <w:sz w:val="16"/>
              </w:rPr>
              <w:t>Signed Into Law</w:t>
            </w:r>
          </w:p>
        </w:tc>
      </w:tr>
    </w:tbl>
    <w:p w14:paraId="7F715E8A" w14:textId="77777777" w:rsidR="00B741BC" w:rsidRPr="00B741BC" w:rsidRDefault="00B741BC" w:rsidP="00B741BC">
      <w:pPr>
        <w:tabs>
          <w:tab w:val="center" w:pos="720"/>
          <w:tab w:val="center" w:pos="1733"/>
        </w:tabs>
        <w:spacing w:line="259" w:lineRule="auto"/>
        <w:rPr>
          <w:rFonts w:ascii="Arial" w:eastAsia="Arial" w:hAnsi="Arial" w:cs="Arial"/>
          <w:color w:val="000000"/>
          <w:kern w:val="2"/>
          <w:szCs w:val="24"/>
          <w14:ligatures w14:val="standardContextual"/>
        </w:rPr>
      </w:pPr>
      <w:r w:rsidRPr="00B741BC">
        <w:rPr>
          <w:rFonts w:ascii="Arial" w:eastAsia="Arial" w:hAnsi="Arial" w:cs="Arial"/>
          <w:color w:val="000000"/>
          <w:kern w:val="2"/>
          <w:sz w:val="20"/>
          <w:szCs w:val="24"/>
          <w14:ligatures w14:val="standardContextual"/>
        </w:rPr>
        <w:t xml:space="preserve">         </w:t>
      </w:r>
      <w:r w:rsidRPr="00B741BC">
        <w:rPr>
          <w:rFonts w:ascii="Arial" w:eastAsia="Arial" w:hAnsi="Arial" w:cs="Arial"/>
          <w:color w:val="000000"/>
          <w:kern w:val="2"/>
          <w:sz w:val="20"/>
          <w:szCs w:val="24"/>
          <w14:ligatures w14:val="standardContextual"/>
        </w:rPr>
        <w:tab/>
        <w:t xml:space="preserve"> </w:t>
      </w:r>
      <w:r w:rsidRPr="00B741BC">
        <w:rPr>
          <w:rFonts w:ascii="Arial" w:eastAsia="Arial" w:hAnsi="Arial" w:cs="Arial"/>
          <w:color w:val="000000"/>
          <w:kern w:val="2"/>
          <w:sz w:val="20"/>
          <w:szCs w:val="24"/>
          <w14:ligatures w14:val="standardContextual"/>
        </w:rPr>
        <w:tab/>
        <w:t xml:space="preserve">       ▲ </w:t>
      </w:r>
    </w:p>
    <w:p w14:paraId="3B44E08D" w14:textId="77777777" w:rsidR="00B741BC" w:rsidRPr="00B741BC" w:rsidRDefault="00B741BC" w:rsidP="004A0864">
      <w:pPr>
        <w:ind w:left="720"/>
        <w:rPr>
          <w:rFonts w:ascii="Arial" w:eastAsia="Arial" w:hAnsi="Arial" w:cs="Arial"/>
          <w:color w:val="000000"/>
          <w:kern w:val="2"/>
          <w:sz w:val="20"/>
          <w:szCs w:val="20"/>
          <w14:ligatures w14:val="standardContextual"/>
        </w:rPr>
      </w:pPr>
      <w:r w:rsidRPr="00B741BC">
        <w:rPr>
          <w:rFonts w:ascii="Arial" w:eastAsia="Arial" w:hAnsi="Arial" w:cs="Arial"/>
          <w:color w:val="000000"/>
          <w:kern w:val="2"/>
          <w:sz w:val="18"/>
          <w:szCs w:val="18"/>
          <w14:ligatures w14:val="standardContextual"/>
        </w:rPr>
        <w:t xml:space="preserve">             Current Point</w:t>
      </w:r>
      <w:r w:rsidRPr="00B741BC">
        <w:rPr>
          <w:rFonts w:ascii="Arial" w:eastAsia="Arial" w:hAnsi="Arial" w:cs="Arial"/>
          <w:color w:val="000000"/>
          <w:kern w:val="2"/>
          <w:sz w:val="20"/>
          <w:szCs w:val="20"/>
          <w14:ligatures w14:val="standardContextual"/>
        </w:rPr>
        <w:t xml:space="preserve"> </w:t>
      </w:r>
    </w:p>
    <w:p w14:paraId="2B36751E" w14:textId="16564DDB" w:rsidR="000242FB" w:rsidRPr="000242FB" w:rsidRDefault="00B741BC" w:rsidP="004A0864">
      <w:pPr>
        <w:ind w:left="10" w:hanging="10"/>
        <w:jc w:val="right"/>
        <w:rPr>
          <w:rFonts w:ascii="Arial" w:eastAsia="Arial" w:hAnsi="Arial" w:cs="Arial"/>
          <w:i/>
          <w:iCs/>
          <w:color w:val="000000"/>
          <w:kern w:val="2"/>
          <w:sz w:val="20"/>
          <w:szCs w:val="20"/>
          <w14:ligatures w14:val="standardContextual"/>
        </w:rPr>
      </w:pPr>
      <w:r w:rsidRPr="00B741BC">
        <w:rPr>
          <w:rFonts w:ascii="Arial" w:eastAsia="Arial" w:hAnsi="Arial" w:cs="Arial"/>
          <w:i/>
          <w:iCs/>
          <w:color w:val="000000"/>
          <w:kern w:val="2"/>
          <w:sz w:val="20"/>
          <w:szCs w:val="20"/>
          <w14:ligatures w14:val="standardContextual"/>
        </w:rPr>
        <w:tab/>
        <w:t>*As of June 1</w:t>
      </w:r>
      <w:r w:rsidR="005C2ED6">
        <w:rPr>
          <w:rFonts w:ascii="Arial" w:eastAsia="Arial" w:hAnsi="Arial" w:cs="Arial"/>
          <w:i/>
          <w:iCs/>
          <w:color w:val="000000"/>
          <w:kern w:val="2"/>
          <w:sz w:val="20"/>
          <w:szCs w:val="20"/>
          <w14:ligatures w14:val="standardContextual"/>
        </w:rPr>
        <w:t>8</w:t>
      </w:r>
      <w:r w:rsidRPr="00B741BC">
        <w:rPr>
          <w:rFonts w:ascii="Arial" w:eastAsia="Arial" w:hAnsi="Arial" w:cs="Arial"/>
          <w:i/>
          <w:iCs/>
          <w:color w:val="000000"/>
          <w:kern w:val="2"/>
          <w:sz w:val="20"/>
          <w:szCs w:val="20"/>
          <w14:ligatures w14:val="standardContextual"/>
        </w:rPr>
        <w:t>, 2024</w:t>
      </w:r>
    </w:p>
    <w:p w14:paraId="6337C355" w14:textId="3DE1973B" w:rsidR="000242FB" w:rsidRPr="000242FB" w:rsidRDefault="000242FB" w:rsidP="004A0864">
      <w:pPr>
        <w:rPr>
          <w:rFonts w:ascii="Arial" w:eastAsia="Arial" w:hAnsi="Arial" w:cs="Arial"/>
          <w:i/>
          <w:iCs/>
          <w:color w:val="000000"/>
          <w:kern w:val="2"/>
          <w14:ligatures w14:val="standardContextual"/>
        </w:rPr>
      </w:pPr>
      <w:r w:rsidRPr="000242FB">
        <w:rPr>
          <w:rFonts w:ascii="Arial" w:eastAsia="Arial" w:hAnsi="Arial" w:cs="Arial"/>
          <w:i/>
          <w:iCs/>
          <w:color w:val="000000"/>
          <w:kern w:val="2"/>
          <w14:ligatures w14:val="standardContextual"/>
        </w:rPr>
        <w:t xml:space="preserve">Funding levels and provisions cited below are subject to change. </w:t>
      </w:r>
    </w:p>
    <w:p w14:paraId="0C454309" w14:textId="77777777" w:rsidR="000242FB" w:rsidRPr="00FC3FEC" w:rsidRDefault="000242FB" w:rsidP="004A0864">
      <w:pPr>
        <w:rPr>
          <w:rFonts w:ascii="Arial" w:hAnsi="Arial" w:cs="Arial"/>
          <w:b/>
          <w:bCs/>
          <w:color w:val="1A3866"/>
        </w:rPr>
      </w:pPr>
    </w:p>
    <w:p w14:paraId="3C3B15A2" w14:textId="66936758" w:rsidR="006265BC" w:rsidRPr="00FC3FEC" w:rsidRDefault="00144F69" w:rsidP="004A0864">
      <w:pPr>
        <w:rPr>
          <w:rFonts w:ascii="Arial" w:hAnsi="Arial" w:cs="Arial"/>
        </w:rPr>
      </w:pPr>
      <w:r w:rsidRPr="00FC3FEC">
        <w:rPr>
          <w:rFonts w:ascii="Arial" w:hAnsi="Arial" w:cs="Arial"/>
          <w:b/>
          <w:bCs/>
          <w:color w:val="1A3866"/>
        </w:rPr>
        <w:t>S</w:t>
      </w:r>
      <w:r w:rsidR="00384BBC" w:rsidRPr="00FC3FEC">
        <w:rPr>
          <w:rFonts w:ascii="Arial" w:hAnsi="Arial" w:cs="Arial"/>
          <w:b/>
          <w:bCs/>
          <w:color w:val="1A3866"/>
        </w:rPr>
        <w:t>ummary Funding</w:t>
      </w:r>
      <w:r w:rsidR="008A60AC" w:rsidRPr="00FC3FEC">
        <w:rPr>
          <w:rFonts w:ascii="Arial" w:hAnsi="Arial" w:cs="Arial"/>
          <w:b/>
          <w:bCs/>
          <w:color w:val="1A3866"/>
        </w:rPr>
        <w:t xml:space="preserve">: </w:t>
      </w:r>
      <w:r w:rsidR="00384BBC" w:rsidRPr="00FC3FEC">
        <w:rPr>
          <w:rFonts w:ascii="Arial" w:hAnsi="Arial" w:cs="Arial"/>
        </w:rPr>
        <w:t>The</w:t>
      </w:r>
      <w:r w:rsidR="008936E4" w:rsidRPr="00FC3FEC">
        <w:rPr>
          <w:rFonts w:ascii="Arial" w:hAnsi="Arial" w:cs="Arial"/>
        </w:rPr>
        <w:t xml:space="preserve"> House Appropriations Subc</w:t>
      </w:r>
      <w:r w:rsidR="00384BBC" w:rsidRPr="00FC3FEC">
        <w:rPr>
          <w:rFonts w:ascii="Arial" w:hAnsi="Arial" w:cs="Arial"/>
        </w:rPr>
        <w:t xml:space="preserve">ommittee on Military Construction, Veterans Affairs, and Related Agencies </w:t>
      </w:r>
      <w:r w:rsidR="008A60AC" w:rsidRPr="00FC3FEC">
        <w:rPr>
          <w:rFonts w:ascii="Arial" w:hAnsi="Arial" w:cs="Arial"/>
        </w:rPr>
        <w:t xml:space="preserve">authorizes </w:t>
      </w:r>
      <w:r w:rsidR="00737E65" w:rsidRPr="00FC3FEC">
        <w:rPr>
          <w:rFonts w:ascii="Arial" w:hAnsi="Arial" w:cs="Arial"/>
        </w:rPr>
        <w:t>$17.</w:t>
      </w:r>
      <w:r w:rsidR="00A24EDC" w:rsidRPr="00FC3FEC">
        <w:rPr>
          <w:rFonts w:ascii="Arial" w:hAnsi="Arial" w:cs="Arial"/>
        </w:rPr>
        <w:t>9</w:t>
      </w:r>
      <w:r w:rsidR="0081706A" w:rsidRPr="00FC3FEC">
        <w:rPr>
          <w:rFonts w:ascii="Arial" w:hAnsi="Arial" w:cs="Arial"/>
        </w:rPr>
        <w:t>B</w:t>
      </w:r>
      <w:r w:rsidR="00A24EDC" w:rsidRPr="00FC3FEC">
        <w:rPr>
          <w:rFonts w:ascii="Arial" w:hAnsi="Arial" w:cs="Arial"/>
        </w:rPr>
        <w:t xml:space="preserve"> for </w:t>
      </w:r>
      <w:r w:rsidR="0006011C" w:rsidRPr="00FC3FEC">
        <w:rPr>
          <w:rFonts w:ascii="Arial" w:hAnsi="Arial" w:cs="Arial"/>
        </w:rPr>
        <w:t xml:space="preserve">military construction and family housing, a </w:t>
      </w:r>
      <w:r w:rsidR="00A24EDC" w:rsidRPr="00FC3FEC">
        <w:rPr>
          <w:rFonts w:ascii="Arial" w:hAnsi="Arial" w:cs="Arial"/>
        </w:rPr>
        <w:t>decrease of $718</w:t>
      </w:r>
      <w:r w:rsidR="00695D83" w:rsidRPr="00FC3FEC">
        <w:rPr>
          <w:rFonts w:ascii="Arial" w:hAnsi="Arial" w:cs="Arial"/>
        </w:rPr>
        <w:t>M</w:t>
      </w:r>
      <w:r w:rsidR="00A24EDC" w:rsidRPr="00FC3FEC">
        <w:rPr>
          <w:rFonts w:ascii="Arial" w:hAnsi="Arial" w:cs="Arial"/>
        </w:rPr>
        <w:t xml:space="preserve"> from FY24 enacted levels, and an increase of $411</w:t>
      </w:r>
      <w:r w:rsidR="00695D83" w:rsidRPr="00FC3FEC">
        <w:rPr>
          <w:rFonts w:ascii="Arial" w:hAnsi="Arial" w:cs="Arial"/>
        </w:rPr>
        <w:t>M</w:t>
      </w:r>
      <w:r w:rsidR="00A24EDC" w:rsidRPr="00FC3FEC">
        <w:rPr>
          <w:rFonts w:ascii="Arial" w:hAnsi="Arial" w:cs="Arial"/>
        </w:rPr>
        <w:t xml:space="preserve"> from the PB Request. </w:t>
      </w:r>
    </w:p>
    <w:p w14:paraId="78A756F8" w14:textId="77777777" w:rsidR="002D0FFF" w:rsidRPr="00FC3FEC" w:rsidRDefault="002D0FFF" w:rsidP="004A0864">
      <w:pPr>
        <w:rPr>
          <w:rFonts w:ascii="Arial" w:hAnsi="Arial" w:cs="Arial"/>
          <w:b/>
          <w:bCs/>
        </w:rPr>
      </w:pPr>
    </w:p>
    <w:p w14:paraId="557E863D" w14:textId="2AB83A75" w:rsidR="00A76024" w:rsidRPr="00FC3FEC" w:rsidRDefault="002D0FFF" w:rsidP="004A0864">
      <w:pPr>
        <w:rPr>
          <w:rFonts w:ascii="Arial" w:hAnsi="Arial" w:cs="Arial"/>
          <w:b/>
          <w:bCs/>
          <w:color w:val="5E6E3F"/>
        </w:rPr>
      </w:pPr>
      <w:r w:rsidRPr="00FC3FEC">
        <w:rPr>
          <w:rFonts w:ascii="Arial" w:hAnsi="Arial" w:cs="Arial"/>
          <w:b/>
          <w:bCs/>
          <w:color w:val="5E6E3F"/>
        </w:rPr>
        <w:t>Army National Guard</w:t>
      </w:r>
    </w:p>
    <w:p w14:paraId="7FB35DAF" w14:textId="51943ECF" w:rsidR="00243936" w:rsidRPr="00FC3FEC" w:rsidRDefault="0067287C" w:rsidP="004A0864">
      <w:pPr>
        <w:pStyle w:val="ListParagraph"/>
        <w:numPr>
          <w:ilvl w:val="0"/>
          <w:numId w:val="27"/>
        </w:numPr>
        <w:rPr>
          <w:rFonts w:ascii="Arial" w:hAnsi="Arial" w:cs="Arial"/>
          <w:color w:val="5E6E3F"/>
        </w:rPr>
      </w:pPr>
      <w:r w:rsidRPr="00FC3FEC">
        <w:rPr>
          <w:rFonts w:ascii="Arial" w:hAnsi="Arial" w:cs="Arial"/>
        </w:rPr>
        <w:t xml:space="preserve">Authorizes </w:t>
      </w:r>
      <w:r w:rsidR="00E70966" w:rsidRPr="00FC3FEC">
        <w:rPr>
          <w:rFonts w:ascii="Arial" w:hAnsi="Arial" w:cs="Arial"/>
        </w:rPr>
        <w:t>$</w:t>
      </w:r>
      <w:r w:rsidR="009F071D" w:rsidRPr="00FC3FEC">
        <w:rPr>
          <w:rFonts w:ascii="Arial" w:hAnsi="Arial" w:cs="Arial"/>
        </w:rPr>
        <w:t>367M for Military Construction for the ARNG</w:t>
      </w:r>
    </w:p>
    <w:p w14:paraId="4225958F" w14:textId="4A4777C6" w:rsidR="009F071D" w:rsidRPr="00FC3FEC" w:rsidRDefault="009F071D" w:rsidP="004A0864">
      <w:pPr>
        <w:pStyle w:val="ListParagraph"/>
        <w:numPr>
          <w:ilvl w:val="1"/>
          <w:numId w:val="27"/>
        </w:numPr>
        <w:rPr>
          <w:rFonts w:ascii="Arial" w:hAnsi="Arial" w:cs="Arial"/>
          <w:color w:val="5E6E3F"/>
        </w:rPr>
      </w:pPr>
      <w:r w:rsidRPr="00FC3FEC">
        <w:rPr>
          <w:rFonts w:ascii="Arial" w:hAnsi="Arial" w:cs="Arial"/>
        </w:rPr>
        <w:t xml:space="preserve">$253M </w:t>
      </w:r>
      <w:r w:rsidR="00390879">
        <w:rPr>
          <w:rFonts w:ascii="Arial" w:hAnsi="Arial" w:cs="Arial"/>
        </w:rPr>
        <w:t xml:space="preserve">decrease </w:t>
      </w:r>
      <w:r w:rsidRPr="00FC3FEC">
        <w:rPr>
          <w:rFonts w:ascii="Arial" w:hAnsi="Arial" w:cs="Arial"/>
        </w:rPr>
        <w:t>from FY24 enacted levels</w:t>
      </w:r>
    </w:p>
    <w:p w14:paraId="488845B6" w14:textId="370EB521" w:rsidR="009F071D" w:rsidRPr="00FC3FEC" w:rsidRDefault="00390879" w:rsidP="004A0864">
      <w:pPr>
        <w:pStyle w:val="ListParagraph"/>
        <w:numPr>
          <w:ilvl w:val="1"/>
          <w:numId w:val="27"/>
        </w:numPr>
        <w:rPr>
          <w:rFonts w:ascii="Arial" w:hAnsi="Arial" w:cs="Arial"/>
          <w:color w:val="5E6E3F"/>
        </w:rPr>
      </w:pPr>
      <w:r>
        <w:rPr>
          <w:rFonts w:ascii="Arial" w:hAnsi="Arial" w:cs="Arial"/>
        </w:rPr>
        <w:t>$</w:t>
      </w:r>
      <w:r w:rsidR="009F071D" w:rsidRPr="00FC3FEC">
        <w:rPr>
          <w:rFonts w:ascii="Arial" w:hAnsi="Arial" w:cs="Arial"/>
        </w:rPr>
        <w:t>5M</w:t>
      </w:r>
      <w:r>
        <w:rPr>
          <w:rFonts w:ascii="Arial" w:hAnsi="Arial" w:cs="Arial"/>
        </w:rPr>
        <w:t xml:space="preserve"> increase</w:t>
      </w:r>
      <w:r w:rsidR="009F071D" w:rsidRPr="00FC3FEC">
        <w:rPr>
          <w:rFonts w:ascii="Arial" w:hAnsi="Arial" w:cs="Arial"/>
        </w:rPr>
        <w:t xml:space="preserve"> from the PB Request</w:t>
      </w:r>
    </w:p>
    <w:p w14:paraId="7098A328" w14:textId="77777777" w:rsidR="002D0FFF" w:rsidRPr="00FC3FEC" w:rsidRDefault="002D0FFF" w:rsidP="004A0864">
      <w:pPr>
        <w:rPr>
          <w:rFonts w:ascii="Arial" w:hAnsi="Arial" w:cs="Arial"/>
        </w:rPr>
      </w:pPr>
    </w:p>
    <w:p w14:paraId="0F5ED5C9" w14:textId="267BF1B4" w:rsidR="00142877" w:rsidRPr="00FC3FEC" w:rsidRDefault="00142877" w:rsidP="004A0864">
      <w:pPr>
        <w:rPr>
          <w:rFonts w:ascii="Arial" w:hAnsi="Arial" w:cs="Arial"/>
          <w:b/>
          <w:bCs/>
          <w:color w:val="1A3866"/>
        </w:rPr>
      </w:pPr>
      <w:r w:rsidRPr="00FC3FEC">
        <w:rPr>
          <w:rFonts w:ascii="Arial" w:hAnsi="Arial" w:cs="Arial"/>
          <w:b/>
          <w:bCs/>
          <w:color w:val="1A3866"/>
        </w:rPr>
        <w:t>Air National Guard</w:t>
      </w:r>
    </w:p>
    <w:p w14:paraId="4C254B89" w14:textId="389B6792" w:rsidR="00B212BD" w:rsidRPr="00FC3FEC" w:rsidRDefault="00B212BD" w:rsidP="004A0864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</w:rPr>
      </w:pPr>
      <w:r w:rsidRPr="00FC3FEC">
        <w:rPr>
          <w:rFonts w:ascii="Arial" w:hAnsi="Arial" w:cs="Arial"/>
        </w:rPr>
        <w:t>Authorizes $195M for Military Construction for the ANG</w:t>
      </w:r>
    </w:p>
    <w:p w14:paraId="7CDC897A" w14:textId="44EC3238" w:rsidR="00B212BD" w:rsidRPr="00FC3FEC" w:rsidRDefault="008103C1" w:rsidP="004A0864">
      <w:pPr>
        <w:pStyle w:val="ListParagraph"/>
        <w:numPr>
          <w:ilvl w:val="1"/>
          <w:numId w:val="27"/>
        </w:numPr>
        <w:rPr>
          <w:rFonts w:ascii="Arial" w:hAnsi="Arial" w:cs="Arial"/>
          <w:b/>
          <w:bCs/>
        </w:rPr>
      </w:pPr>
      <w:r w:rsidRPr="00FC3FEC">
        <w:rPr>
          <w:rFonts w:ascii="Arial" w:hAnsi="Arial" w:cs="Arial"/>
        </w:rPr>
        <w:t>$99M</w:t>
      </w:r>
      <w:r w:rsidR="00390879">
        <w:rPr>
          <w:rFonts w:ascii="Arial" w:hAnsi="Arial" w:cs="Arial"/>
        </w:rPr>
        <w:t xml:space="preserve"> decrease</w:t>
      </w:r>
      <w:r w:rsidRPr="00FC3FEC">
        <w:rPr>
          <w:rFonts w:ascii="Arial" w:hAnsi="Arial" w:cs="Arial"/>
        </w:rPr>
        <w:t xml:space="preserve"> from FY24 enacted levels</w:t>
      </w:r>
    </w:p>
    <w:p w14:paraId="1DF8FAD9" w14:textId="78F8E748" w:rsidR="008103C1" w:rsidRPr="00FC3FEC" w:rsidRDefault="008103C1" w:rsidP="004A0864">
      <w:pPr>
        <w:pStyle w:val="ListParagraph"/>
        <w:numPr>
          <w:ilvl w:val="1"/>
          <w:numId w:val="27"/>
        </w:numPr>
        <w:rPr>
          <w:rFonts w:ascii="Arial" w:hAnsi="Arial" w:cs="Arial"/>
          <w:b/>
          <w:bCs/>
        </w:rPr>
      </w:pPr>
      <w:r w:rsidRPr="00FC3FEC">
        <w:rPr>
          <w:rFonts w:ascii="Arial" w:hAnsi="Arial" w:cs="Arial"/>
        </w:rPr>
        <w:t xml:space="preserve">$5M </w:t>
      </w:r>
      <w:r w:rsidR="00390879">
        <w:rPr>
          <w:rFonts w:ascii="Arial" w:hAnsi="Arial" w:cs="Arial"/>
        </w:rPr>
        <w:t xml:space="preserve">increase </w:t>
      </w:r>
      <w:r w:rsidRPr="00FC3FEC">
        <w:rPr>
          <w:rFonts w:ascii="Arial" w:hAnsi="Arial" w:cs="Arial"/>
        </w:rPr>
        <w:t>from the PB Reques</w:t>
      </w:r>
      <w:r w:rsidR="00737E65" w:rsidRPr="00FC3FEC">
        <w:rPr>
          <w:rFonts w:ascii="Arial" w:hAnsi="Arial" w:cs="Arial"/>
        </w:rPr>
        <w:t>t</w:t>
      </w:r>
    </w:p>
    <w:p w14:paraId="33161A93" w14:textId="77777777" w:rsidR="008D2B71" w:rsidRPr="00FC3FEC" w:rsidRDefault="008D2B71" w:rsidP="004A0864">
      <w:pPr>
        <w:pStyle w:val="ListParagraph"/>
        <w:ind w:left="1440"/>
        <w:rPr>
          <w:rFonts w:ascii="Arial" w:hAnsi="Arial" w:cs="Arial"/>
          <w:b/>
          <w:bCs/>
        </w:rPr>
      </w:pPr>
    </w:p>
    <w:p w14:paraId="294EE059" w14:textId="52018F32" w:rsidR="00390879" w:rsidRPr="00FC3FEC" w:rsidRDefault="008D2B71" w:rsidP="004A0864">
      <w:pPr>
        <w:rPr>
          <w:rFonts w:ascii="Arial" w:hAnsi="Arial" w:cs="Arial"/>
          <w:i/>
          <w:iCs/>
        </w:rPr>
      </w:pPr>
      <w:r w:rsidRPr="00FC3FEC">
        <w:rPr>
          <w:rFonts w:ascii="Arial" w:hAnsi="Arial" w:cs="Arial"/>
        </w:rPr>
        <w:t>*</w:t>
      </w:r>
      <w:r w:rsidR="00C630A2" w:rsidRPr="00FC3FEC">
        <w:rPr>
          <w:rFonts w:ascii="Arial" w:hAnsi="Arial" w:cs="Arial"/>
          <w:i/>
          <w:iCs/>
        </w:rPr>
        <w:t xml:space="preserve">The Committee </w:t>
      </w:r>
      <w:r w:rsidRPr="00FC3FEC">
        <w:rPr>
          <w:rFonts w:ascii="Arial" w:hAnsi="Arial" w:cs="Arial"/>
          <w:i/>
          <w:iCs/>
        </w:rPr>
        <w:t>recognizes</w:t>
      </w:r>
      <w:r w:rsidR="00C630A2" w:rsidRPr="00FC3FEC">
        <w:rPr>
          <w:rFonts w:ascii="Arial" w:hAnsi="Arial" w:cs="Arial"/>
          <w:i/>
          <w:iCs/>
        </w:rPr>
        <w:t xml:space="preserve"> that some Aviation Support Facilities </w:t>
      </w:r>
      <w:r w:rsidRPr="00FC3FEC">
        <w:rPr>
          <w:rFonts w:ascii="Arial" w:hAnsi="Arial" w:cs="Arial"/>
          <w:i/>
          <w:iCs/>
        </w:rPr>
        <w:t xml:space="preserve">are </w:t>
      </w:r>
      <w:r w:rsidR="00C630A2" w:rsidRPr="00FC3FEC">
        <w:rPr>
          <w:rFonts w:ascii="Arial" w:hAnsi="Arial" w:cs="Arial"/>
          <w:i/>
          <w:iCs/>
        </w:rPr>
        <w:t>no</w:t>
      </w:r>
      <w:r w:rsidRPr="00FC3FEC">
        <w:rPr>
          <w:rFonts w:ascii="Arial" w:hAnsi="Arial" w:cs="Arial"/>
          <w:i/>
          <w:iCs/>
        </w:rPr>
        <w:t>t</w:t>
      </w:r>
      <w:r w:rsidR="00C630A2" w:rsidRPr="00FC3FEC">
        <w:rPr>
          <w:rFonts w:ascii="Arial" w:hAnsi="Arial" w:cs="Arial"/>
          <w:i/>
          <w:iCs/>
        </w:rPr>
        <w:t xml:space="preserve"> </w:t>
      </w:r>
      <w:r w:rsidRPr="00FC3FEC">
        <w:rPr>
          <w:rFonts w:ascii="Arial" w:hAnsi="Arial" w:cs="Arial"/>
          <w:i/>
          <w:iCs/>
        </w:rPr>
        <w:t>configured</w:t>
      </w:r>
      <w:r w:rsidR="00C630A2" w:rsidRPr="00FC3FEC">
        <w:rPr>
          <w:rFonts w:ascii="Arial" w:hAnsi="Arial" w:cs="Arial"/>
          <w:i/>
          <w:iCs/>
        </w:rPr>
        <w:t xml:space="preserve"> to </w:t>
      </w:r>
      <w:r w:rsidRPr="00FC3FEC">
        <w:rPr>
          <w:rFonts w:ascii="Arial" w:hAnsi="Arial" w:cs="Arial"/>
          <w:i/>
          <w:iCs/>
        </w:rPr>
        <w:t>protect</w:t>
      </w:r>
      <w:r w:rsidR="00C630A2" w:rsidRPr="00FC3FEC">
        <w:rPr>
          <w:rFonts w:ascii="Arial" w:hAnsi="Arial" w:cs="Arial"/>
          <w:i/>
          <w:iCs/>
        </w:rPr>
        <w:t xml:space="preserve"> and maintain modern airframes and encourages the Air National Guard to upgrade these facilities using </w:t>
      </w:r>
      <w:r w:rsidRPr="00FC3FEC">
        <w:rPr>
          <w:rFonts w:ascii="Arial" w:hAnsi="Arial" w:cs="Arial"/>
          <w:i/>
          <w:iCs/>
        </w:rPr>
        <w:t>unspecified</w:t>
      </w:r>
      <w:r w:rsidR="00C630A2" w:rsidRPr="00FC3FEC">
        <w:rPr>
          <w:rFonts w:ascii="Arial" w:hAnsi="Arial" w:cs="Arial"/>
          <w:i/>
          <w:iCs/>
        </w:rPr>
        <w:t xml:space="preserve"> minor military </w:t>
      </w:r>
      <w:r w:rsidRPr="00FC3FEC">
        <w:rPr>
          <w:rFonts w:ascii="Arial" w:hAnsi="Arial" w:cs="Arial"/>
          <w:i/>
          <w:iCs/>
        </w:rPr>
        <w:t>construction</w:t>
      </w:r>
      <w:r w:rsidR="00C630A2" w:rsidRPr="00FC3FEC">
        <w:rPr>
          <w:rFonts w:ascii="Arial" w:hAnsi="Arial" w:cs="Arial"/>
          <w:i/>
          <w:iCs/>
        </w:rPr>
        <w:t xml:space="preserve"> funds, as </w:t>
      </w:r>
      <w:r w:rsidRPr="00FC3FEC">
        <w:rPr>
          <w:rFonts w:ascii="Arial" w:hAnsi="Arial" w:cs="Arial"/>
          <w:i/>
          <w:iCs/>
        </w:rPr>
        <w:t>appropriate</w:t>
      </w:r>
      <w:r w:rsidR="00C630A2" w:rsidRPr="00FC3FEC">
        <w:rPr>
          <w:rFonts w:ascii="Arial" w:hAnsi="Arial" w:cs="Arial"/>
          <w:i/>
          <w:iCs/>
        </w:rPr>
        <w:t xml:space="preserve">, to ensure current </w:t>
      </w:r>
      <w:r w:rsidRPr="00FC3FEC">
        <w:rPr>
          <w:rFonts w:ascii="Arial" w:hAnsi="Arial" w:cs="Arial"/>
          <w:i/>
          <w:iCs/>
        </w:rPr>
        <w:t>facilities</w:t>
      </w:r>
      <w:r w:rsidR="00C630A2" w:rsidRPr="00FC3FEC">
        <w:rPr>
          <w:rFonts w:ascii="Arial" w:hAnsi="Arial" w:cs="Arial"/>
          <w:i/>
          <w:iCs/>
        </w:rPr>
        <w:t xml:space="preserve"> </w:t>
      </w:r>
      <w:r w:rsidRPr="00FC3FEC">
        <w:rPr>
          <w:rFonts w:ascii="Arial" w:hAnsi="Arial" w:cs="Arial"/>
          <w:i/>
          <w:iCs/>
        </w:rPr>
        <w:t xml:space="preserve">are </w:t>
      </w:r>
      <w:r w:rsidR="00C630A2" w:rsidRPr="00FC3FEC">
        <w:rPr>
          <w:rFonts w:ascii="Arial" w:hAnsi="Arial" w:cs="Arial"/>
          <w:i/>
          <w:iCs/>
        </w:rPr>
        <w:t>upgrade</w:t>
      </w:r>
      <w:r w:rsidRPr="00FC3FEC">
        <w:rPr>
          <w:rFonts w:ascii="Arial" w:hAnsi="Arial" w:cs="Arial"/>
          <w:i/>
          <w:iCs/>
        </w:rPr>
        <w:t xml:space="preserve">d </w:t>
      </w:r>
      <w:r w:rsidR="00C630A2" w:rsidRPr="00FC3FEC">
        <w:rPr>
          <w:rFonts w:ascii="Arial" w:hAnsi="Arial" w:cs="Arial"/>
          <w:i/>
          <w:iCs/>
        </w:rPr>
        <w:t>to adequately support current airframes</w:t>
      </w:r>
      <w:r w:rsidRPr="00FC3FEC">
        <w:rPr>
          <w:rFonts w:ascii="Arial" w:hAnsi="Arial" w:cs="Arial"/>
          <w:i/>
          <w:iCs/>
        </w:rPr>
        <w:t>.</w:t>
      </w:r>
    </w:p>
    <w:p w14:paraId="354CD038" w14:textId="77777777" w:rsidR="00137B4C" w:rsidRPr="00FC3FEC" w:rsidRDefault="00137B4C" w:rsidP="004A0864">
      <w:pPr>
        <w:jc w:val="right"/>
        <w:rPr>
          <w:rFonts w:ascii="Arial" w:hAnsi="Arial" w:cs="Arial"/>
          <w:b/>
          <w:color w:val="1A3866"/>
        </w:rPr>
      </w:pPr>
    </w:p>
    <w:p w14:paraId="1D9F019E" w14:textId="77777777" w:rsidR="002A4613" w:rsidRPr="00FC3FEC" w:rsidRDefault="002A4613" w:rsidP="00F07D3F">
      <w:pPr>
        <w:rPr>
          <w:rFonts w:ascii="Arial" w:hAnsi="Arial" w:cs="Arial"/>
          <w:b/>
          <w:color w:val="1A3866"/>
        </w:rPr>
      </w:pPr>
    </w:p>
    <w:p w14:paraId="2C51364B" w14:textId="780DD074" w:rsidR="004A0864" w:rsidRPr="00FC3FEC" w:rsidRDefault="004A0864" w:rsidP="004A0864">
      <w:pPr>
        <w:jc w:val="right"/>
        <w:rPr>
          <w:rFonts w:ascii="Arial" w:hAnsi="Arial" w:cs="Arial"/>
          <w:b/>
          <w:color w:val="1A3866"/>
        </w:rPr>
      </w:pPr>
      <w:r w:rsidRPr="00FC3FEC">
        <w:rPr>
          <w:rFonts w:ascii="Arial" w:hAnsi="Arial" w:cs="Arial"/>
          <w:b/>
          <w:color w:val="1A3866"/>
        </w:rPr>
        <w:t>Revised by Mikaila Flagg</w:t>
      </w:r>
    </w:p>
    <w:p w14:paraId="5B60436B" w14:textId="36797BAD" w:rsidR="004A0864" w:rsidRPr="00FC3FEC" w:rsidRDefault="004A0864" w:rsidP="0027723B">
      <w:pPr>
        <w:jc w:val="right"/>
        <w:rPr>
          <w:rFonts w:ascii="Arial" w:hAnsi="Arial" w:cs="Arial"/>
        </w:rPr>
      </w:pPr>
      <w:r w:rsidRPr="00FC3FEC">
        <w:rPr>
          <w:rFonts w:ascii="Arial" w:hAnsi="Arial" w:cs="Arial"/>
          <w:b/>
          <w:color w:val="1A3866"/>
        </w:rPr>
        <w:t xml:space="preserve">  18 June 2024</w:t>
      </w:r>
    </w:p>
    <w:sectPr w:rsidR="004A0864" w:rsidRPr="00FC3FEC" w:rsidSect="009A08C6">
      <w:headerReference w:type="even" r:id="rId9"/>
      <w:headerReference w:type="default" r:id="rId10"/>
      <w:footerReference w:type="default" r:id="rId11"/>
      <w:footerReference w:type="first" r:id="rId12"/>
      <w:footnotePr>
        <w:numFmt w:val="chicago"/>
      </w:footnotePr>
      <w:pgSz w:w="12240" w:h="15840" w:code="1"/>
      <w:pgMar w:top="1440" w:right="1440" w:bottom="144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1BE39" w14:textId="77777777" w:rsidR="0061584E" w:rsidRDefault="0061584E">
      <w:r>
        <w:separator/>
      </w:r>
    </w:p>
  </w:endnote>
  <w:endnote w:type="continuationSeparator" w:id="0">
    <w:p w14:paraId="78EA74C1" w14:textId="77777777" w:rsidR="0061584E" w:rsidRDefault="0061584E">
      <w:r>
        <w:continuationSeparator/>
      </w:r>
    </w:p>
  </w:endnote>
  <w:endnote w:type="continuationNotice" w:id="1">
    <w:p w14:paraId="4229923C" w14:textId="77777777" w:rsidR="0061584E" w:rsidRDefault="00615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F975E" w14:textId="7CA05D81" w:rsidR="00BC0AC8" w:rsidRPr="0056691E" w:rsidRDefault="00756A5A" w:rsidP="00FA17EE">
    <w:pPr>
      <w:pStyle w:val="Header"/>
      <w:tabs>
        <w:tab w:val="clear" w:pos="4680"/>
        <w:tab w:val="clear" w:pos="9360"/>
        <w:tab w:val="right" w:pos="7920"/>
      </w:tabs>
      <w:jc w:val="right"/>
      <w:rPr>
        <w:rFonts w:ascii="Arial" w:hAnsi="Arial" w:cs="Arial"/>
        <w:b/>
        <w:color w:val="1A3866"/>
      </w:rPr>
    </w:pPr>
    <w:r>
      <w:rPr>
        <w:rFonts w:ascii="Arial" w:hAnsi="Arial" w:cs="Arial"/>
        <w:b/>
        <w:color w:val="1A3866"/>
        <w:sz w:val="24"/>
      </w:rPr>
      <w:t>Prepared by:</w:t>
    </w:r>
    <w:r w:rsidRPr="00BC73D4">
      <w:rPr>
        <w:rFonts w:ascii="Arial" w:hAnsi="Arial" w:cs="Arial"/>
        <w:b/>
        <w:color w:val="1A3866"/>
        <w:sz w:val="24"/>
      </w:rPr>
      <w:t xml:space="preserve"> </w:t>
    </w:r>
    <w:r w:rsidR="004B32A9" w:rsidRPr="004B32A9">
      <w:rPr>
        <w:rFonts w:ascii="Arial" w:hAnsi="Arial" w:cs="Arial"/>
        <w:b/>
        <w:color w:val="1A3866"/>
        <w:sz w:val="24"/>
      </w:rPr>
      <w:t>Alec Gonzalez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3CAA2" w14:textId="77777777" w:rsidR="004A0864" w:rsidRDefault="004A0864" w:rsidP="004A0864">
    <w:pPr>
      <w:rPr>
        <w:rFonts w:ascii="Arial" w:hAnsi="Arial" w:cs="Arial"/>
      </w:rPr>
    </w:pPr>
  </w:p>
  <w:p w14:paraId="2FA57713" w14:textId="02E15DF2" w:rsidR="004A0864" w:rsidRPr="00737E65" w:rsidRDefault="004A0864" w:rsidP="004A0864">
    <w:pPr>
      <w:jc w:val="righ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3B47ABB0" w14:textId="77777777" w:rsidR="00BC0AC8" w:rsidRPr="005D7189" w:rsidRDefault="00BC0AC8" w:rsidP="004A0864">
    <w:pPr>
      <w:pStyle w:val="Header"/>
      <w:tabs>
        <w:tab w:val="clear" w:pos="4680"/>
        <w:tab w:val="clear" w:pos="9360"/>
        <w:tab w:val="right" w:pos="7920"/>
      </w:tabs>
      <w:jc w:val="right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72BD4" w14:textId="77777777" w:rsidR="0061584E" w:rsidRDefault="0061584E">
      <w:r>
        <w:separator/>
      </w:r>
    </w:p>
  </w:footnote>
  <w:footnote w:type="continuationSeparator" w:id="0">
    <w:p w14:paraId="2DF86CE1" w14:textId="77777777" w:rsidR="0061584E" w:rsidRDefault="0061584E">
      <w:r>
        <w:continuationSeparator/>
      </w:r>
    </w:p>
  </w:footnote>
  <w:footnote w:type="continuationNotice" w:id="1">
    <w:p w14:paraId="75A1F7DC" w14:textId="77777777" w:rsidR="0061584E" w:rsidRDefault="00615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2C98B" w14:textId="77777777" w:rsidR="00BC0AC8" w:rsidRDefault="008B7C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45D6088" wp14:editId="6D4D35E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619250" r="0" b="13112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A6385" w14:textId="77777777" w:rsidR="008B7CF7" w:rsidRDefault="008B7CF7" w:rsidP="008B7CF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D60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188.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61A6385" w14:textId="77777777" w:rsidR="008B7CF7" w:rsidRDefault="008B7CF7" w:rsidP="008B7CF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7DEA" w14:textId="77777777" w:rsidR="00BC0AC8" w:rsidRDefault="008B7CF7" w:rsidP="00653752">
    <w:pPr>
      <w:pStyle w:val="Header"/>
      <w:tabs>
        <w:tab w:val="clear" w:pos="4680"/>
        <w:tab w:val="clear" w:pos="9360"/>
        <w:tab w:val="right" w:pos="79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43C8"/>
    <w:multiLevelType w:val="hybridMultilevel"/>
    <w:tmpl w:val="15E6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1F3C"/>
    <w:multiLevelType w:val="hybridMultilevel"/>
    <w:tmpl w:val="DC1A80C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BBE28FF"/>
    <w:multiLevelType w:val="hybridMultilevel"/>
    <w:tmpl w:val="56A4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F3632"/>
    <w:multiLevelType w:val="hybridMultilevel"/>
    <w:tmpl w:val="2A042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65BE7"/>
    <w:multiLevelType w:val="hybridMultilevel"/>
    <w:tmpl w:val="10FE3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E26C0"/>
    <w:multiLevelType w:val="multilevel"/>
    <w:tmpl w:val="7B5C0E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color w:val="auto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EF564A"/>
    <w:multiLevelType w:val="hybridMultilevel"/>
    <w:tmpl w:val="31DC4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00A5A"/>
    <w:multiLevelType w:val="multilevel"/>
    <w:tmpl w:val="732CF3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35DA3"/>
    <w:multiLevelType w:val="hybridMultilevel"/>
    <w:tmpl w:val="18D8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07A36"/>
    <w:multiLevelType w:val="multilevel"/>
    <w:tmpl w:val="7B5C0E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2124A7"/>
    <w:multiLevelType w:val="multilevel"/>
    <w:tmpl w:val="7B5C0E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39385B"/>
    <w:multiLevelType w:val="hybridMultilevel"/>
    <w:tmpl w:val="D28A8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26B91"/>
    <w:multiLevelType w:val="hybridMultilevel"/>
    <w:tmpl w:val="C980B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0D0050"/>
    <w:multiLevelType w:val="multilevel"/>
    <w:tmpl w:val="732CF3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1268A"/>
    <w:multiLevelType w:val="hybridMultilevel"/>
    <w:tmpl w:val="7DEE72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9169D6"/>
    <w:multiLevelType w:val="hybridMultilevel"/>
    <w:tmpl w:val="2560539C"/>
    <w:lvl w:ilvl="0" w:tplc="F704E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2A55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9EF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3EA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68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766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4E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606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267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7B5470"/>
    <w:multiLevelType w:val="hybridMultilevel"/>
    <w:tmpl w:val="9A4CD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8DC6C">
      <w:numFmt w:val="bullet"/>
      <w:lvlText w:val="•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93AD2"/>
    <w:multiLevelType w:val="hybridMultilevel"/>
    <w:tmpl w:val="9B14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0226C"/>
    <w:multiLevelType w:val="multilevel"/>
    <w:tmpl w:val="891207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9" w15:restartNumberingAfterBreak="0">
    <w:nsid w:val="48842EE9"/>
    <w:multiLevelType w:val="hybridMultilevel"/>
    <w:tmpl w:val="C0B0A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5A7C4F"/>
    <w:multiLevelType w:val="hybridMultilevel"/>
    <w:tmpl w:val="65421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7858A1"/>
    <w:multiLevelType w:val="multilevel"/>
    <w:tmpl w:val="891207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2" w15:restartNumberingAfterBreak="0">
    <w:nsid w:val="588F1D08"/>
    <w:multiLevelType w:val="multilevel"/>
    <w:tmpl w:val="891207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3" w15:restartNumberingAfterBreak="0">
    <w:nsid w:val="655B1A10"/>
    <w:multiLevelType w:val="hybridMultilevel"/>
    <w:tmpl w:val="2AC06B8A"/>
    <w:lvl w:ilvl="0" w:tplc="04090003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4" w15:restartNumberingAfterBreak="0">
    <w:nsid w:val="7A527943"/>
    <w:multiLevelType w:val="multilevel"/>
    <w:tmpl w:val="8E0614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83AFF"/>
    <w:multiLevelType w:val="multilevel"/>
    <w:tmpl w:val="732CF3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85D79"/>
    <w:multiLevelType w:val="multilevel"/>
    <w:tmpl w:val="891207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num w:numId="1" w16cid:durableId="175313008">
    <w:abstractNumId w:val="19"/>
  </w:num>
  <w:num w:numId="2" w16cid:durableId="414670951">
    <w:abstractNumId w:val="24"/>
  </w:num>
  <w:num w:numId="3" w16cid:durableId="1121194446">
    <w:abstractNumId w:val="13"/>
  </w:num>
  <w:num w:numId="4" w16cid:durableId="740717118">
    <w:abstractNumId w:val="7"/>
  </w:num>
  <w:num w:numId="5" w16cid:durableId="1706756717">
    <w:abstractNumId w:val="20"/>
  </w:num>
  <w:num w:numId="6" w16cid:durableId="1933586389">
    <w:abstractNumId w:val="4"/>
  </w:num>
  <w:num w:numId="7" w16cid:durableId="790513465">
    <w:abstractNumId w:val="12"/>
  </w:num>
  <w:num w:numId="8" w16cid:durableId="1974020102">
    <w:abstractNumId w:val="10"/>
  </w:num>
  <w:num w:numId="9" w16cid:durableId="987394805">
    <w:abstractNumId w:val="25"/>
  </w:num>
  <w:num w:numId="10" w16cid:durableId="68775841">
    <w:abstractNumId w:val="5"/>
  </w:num>
  <w:num w:numId="11" w16cid:durableId="1436319016">
    <w:abstractNumId w:val="9"/>
  </w:num>
  <w:num w:numId="12" w16cid:durableId="238178017">
    <w:abstractNumId w:val="26"/>
  </w:num>
  <w:num w:numId="13" w16cid:durableId="178936939">
    <w:abstractNumId w:val="21"/>
  </w:num>
  <w:num w:numId="14" w16cid:durableId="7561109">
    <w:abstractNumId w:val="18"/>
  </w:num>
  <w:num w:numId="15" w16cid:durableId="1523395882">
    <w:abstractNumId w:val="22"/>
  </w:num>
  <w:num w:numId="16" w16cid:durableId="656034236">
    <w:abstractNumId w:val="6"/>
  </w:num>
  <w:num w:numId="17" w16cid:durableId="456028159">
    <w:abstractNumId w:val="8"/>
  </w:num>
  <w:num w:numId="18" w16cid:durableId="338191725">
    <w:abstractNumId w:val="15"/>
  </w:num>
  <w:num w:numId="19" w16cid:durableId="1489200791">
    <w:abstractNumId w:val="17"/>
  </w:num>
  <w:num w:numId="20" w16cid:durableId="1348369863">
    <w:abstractNumId w:val="3"/>
  </w:num>
  <w:num w:numId="21" w16cid:durableId="243613653">
    <w:abstractNumId w:val="0"/>
  </w:num>
  <w:num w:numId="22" w16cid:durableId="1930308405">
    <w:abstractNumId w:val="16"/>
  </w:num>
  <w:num w:numId="23" w16cid:durableId="1278023763">
    <w:abstractNumId w:val="14"/>
  </w:num>
  <w:num w:numId="24" w16cid:durableId="1636377320">
    <w:abstractNumId w:val="23"/>
  </w:num>
  <w:num w:numId="25" w16cid:durableId="1599557459">
    <w:abstractNumId w:val="1"/>
  </w:num>
  <w:num w:numId="26" w16cid:durableId="1940411919">
    <w:abstractNumId w:val="11"/>
  </w:num>
  <w:num w:numId="27" w16cid:durableId="619460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F7"/>
    <w:rsid w:val="00006A10"/>
    <w:rsid w:val="00012263"/>
    <w:rsid w:val="00014743"/>
    <w:rsid w:val="000208FB"/>
    <w:rsid w:val="000242FB"/>
    <w:rsid w:val="0003352A"/>
    <w:rsid w:val="00034DC6"/>
    <w:rsid w:val="00043D54"/>
    <w:rsid w:val="00051E15"/>
    <w:rsid w:val="0006011C"/>
    <w:rsid w:val="000623F2"/>
    <w:rsid w:val="00077446"/>
    <w:rsid w:val="00083F14"/>
    <w:rsid w:val="000A2F62"/>
    <w:rsid w:val="000A71BC"/>
    <w:rsid w:val="000B130E"/>
    <w:rsid w:val="000B422B"/>
    <w:rsid w:val="000B64E0"/>
    <w:rsid w:val="000E2566"/>
    <w:rsid w:val="000F5E4A"/>
    <w:rsid w:val="00105802"/>
    <w:rsid w:val="00121053"/>
    <w:rsid w:val="00135AA6"/>
    <w:rsid w:val="001375B7"/>
    <w:rsid w:val="00137B4C"/>
    <w:rsid w:val="00142877"/>
    <w:rsid w:val="00144F69"/>
    <w:rsid w:val="00146017"/>
    <w:rsid w:val="00147113"/>
    <w:rsid w:val="001552B4"/>
    <w:rsid w:val="00187B83"/>
    <w:rsid w:val="001A0AE1"/>
    <w:rsid w:val="001B0DD1"/>
    <w:rsid w:val="001B41C8"/>
    <w:rsid w:val="001D5DB3"/>
    <w:rsid w:val="001D71E5"/>
    <w:rsid w:val="001E4285"/>
    <w:rsid w:val="001F5769"/>
    <w:rsid w:val="00206E3E"/>
    <w:rsid w:val="002112DE"/>
    <w:rsid w:val="00220ADA"/>
    <w:rsid w:val="00243936"/>
    <w:rsid w:val="00264A43"/>
    <w:rsid w:val="00264FFE"/>
    <w:rsid w:val="0027074D"/>
    <w:rsid w:val="0027723B"/>
    <w:rsid w:val="002772EF"/>
    <w:rsid w:val="002835E3"/>
    <w:rsid w:val="00283B95"/>
    <w:rsid w:val="00286758"/>
    <w:rsid w:val="00286A3B"/>
    <w:rsid w:val="002A4613"/>
    <w:rsid w:val="002A5A05"/>
    <w:rsid w:val="002A63CC"/>
    <w:rsid w:val="002A74B5"/>
    <w:rsid w:val="002B24EC"/>
    <w:rsid w:val="002C2599"/>
    <w:rsid w:val="002D0FFF"/>
    <w:rsid w:val="002D2CB9"/>
    <w:rsid w:val="002E62F5"/>
    <w:rsid w:val="002F042D"/>
    <w:rsid w:val="002F7AAC"/>
    <w:rsid w:val="00303D16"/>
    <w:rsid w:val="003048F5"/>
    <w:rsid w:val="0030528D"/>
    <w:rsid w:val="003358E4"/>
    <w:rsid w:val="00340B5E"/>
    <w:rsid w:val="003724AD"/>
    <w:rsid w:val="003774C7"/>
    <w:rsid w:val="00384BBC"/>
    <w:rsid w:val="00390879"/>
    <w:rsid w:val="003C5F0D"/>
    <w:rsid w:val="003E58C3"/>
    <w:rsid w:val="003E6359"/>
    <w:rsid w:val="00403E37"/>
    <w:rsid w:val="00441A99"/>
    <w:rsid w:val="0045018A"/>
    <w:rsid w:val="00450A94"/>
    <w:rsid w:val="0045581A"/>
    <w:rsid w:val="004605B1"/>
    <w:rsid w:val="00461899"/>
    <w:rsid w:val="00464CBA"/>
    <w:rsid w:val="00481022"/>
    <w:rsid w:val="0048465E"/>
    <w:rsid w:val="00497854"/>
    <w:rsid w:val="004A0864"/>
    <w:rsid w:val="004A4A60"/>
    <w:rsid w:val="004B32A9"/>
    <w:rsid w:val="004C232D"/>
    <w:rsid w:val="004C4307"/>
    <w:rsid w:val="004F3441"/>
    <w:rsid w:val="005010DA"/>
    <w:rsid w:val="00504955"/>
    <w:rsid w:val="00515887"/>
    <w:rsid w:val="00521553"/>
    <w:rsid w:val="00531E7E"/>
    <w:rsid w:val="0055189C"/>
    <w:rsid w:val="00552BFB"/>
    <w:rsid w:val="0056761C"/>
    <w:rsid w:val="00567EFF"/>
    <w:rsid w:val="005776FE"/>
    <w:rsid w:val="005A004B"/>
    <w:rsid w:val="005B68B9"/>
    <w:rsid w:val="005C2ED6"/>
    <w:rsid w:val="005D00FA"/>
    <w:rsid w:val="005D6AF8"/>
    <w:rsid w:val="00600C5F"/>
    <w:rsid w:val="00603B59"/>
    <w:rsid w:val="00607FB4"/>
    <w:rsid w:val="0061584E"/>
    <w:rsid w:val="006265BC"/>
    <w:rsid w:val="00637C01"/>
    <w:rsid w:val="00642522"/>
    <w:rsid w:val="00646096"/>
    <w:rsid w:val="00647832"/>
    <w:rsid w:val="00653752"/>
    <w:rsid w:val="0065414F"/>
    <w:rsid w:val="00663F6B"/>
    <w:rsid w:val="0067287C"/>
    <w:rsid w:val="006731EA"/>
    <w:rsid w:val="00682057"/>
    <w:rsid w:val="00686B3E"/>
    <w:rsid w:val="006906FC"/>
    <w:rsid w:val="00695D83"/>
    <w:rsid w:val="00697394"/>
    <w:rsid w:val="006B1FA2"/>
    <w:rsid w:val="006B29F4"/>
    <w:rsid w:val="006C3F2F"/>
    <w:rsid w:val="006D3FE7"/>
    <w:rsid w:val="006D77B5"/>
    <w:rsid w:val="006E30C2"/>
    <w:rsid w:val="006F5BB2"/>
    <w:rsid w:val="00712A52"/>
    <w:rsid w:val="007155CE"/>
    <w:rsid w:val="00715A0C"/>
    <w:rsid w:val="0071763D"/>
    <w:rsid w:val="00720ABF"/>
    <w:rsid w:val="007307CC"/>
    <w:rsid w:val="0073171D"/>
    <w:rsid w:val="00737E65"/>
    <w:rsid w:val="007500F6"/>
    <w:rsid w:val="00754515"/>
    <w:rsid w:val="00756A5A"/>
    <w:rsid w:val="00790CEA"/>
    <w:rsid w:val="007A1236"/>
    <w:rsid w:val="007B4E64"/>
    <w:rsid w:val="007B523A"/>
    <w:rsid w:val="007B542F"/>
    <w:rsid w:val="007C5D3A"/>
    <w:rsid w:val="007D0BBF"/>
    <w:rsid w:val="007D6314"/>
    <w:rsid w:val="00800AC4"/>
    <w:rsid w:val="008103C1"/>
    <w:rsid w:val="00811083"/>
    <w:rsid w:val="00811CD4"/>
    <w:rsid w:val="008155CD"/>
    <w:rsid w:val="0081706A"/>
    <w:rsid w:val="00825549"/>
    <w:rsid w:val="0084227B"/>
    <w:rsid w:val="008470B3"/>
    <w:rsid w:val="0086413F"/>
    <w:rsid w:val="008712DA"/>
    <w:rsid w:val="00873C57"/>
    <w:rsid w:val="008936E4"/>
    <w:rsid w:val="008A60AC"/>
    <w:rsid w:val="008B7CF7"/>
    <w:rsid w:val="008D2B71"/>
    <w:rsid w:val="008D41DE"/>
    <w:rsid w:val="008D6F44"/>
    <w:rsid w:val="008E17F5"/>
    <w:rsid w:val="008E2A77"/>
    <w:rsid w:val="008E4249"/>
    <w:rsid w:val="008F1B20"/>
    <w:rsid w:val="00900461"/>
    <w:rsid w:val="009015CC"/>
    <w:rsid w:val="009309F6"/>
    <w:rsid w:val="00937868"/>
    <w:rsid w:val="00963821"/>
    <w:rsid w:val="00995317"/>
    <w:rsid w:val="00997C06"/>
    <w:rsid w:val="009A08C6"/>
    <w:rsid w:val="009B33EF"/>
    <w:rsid w:val="009B4CB3"/>
    <w:rsid w:val="009B74DD"/>
    <w:rsid w:val="009C1B81"/>
    <w:rsid w:val="009C60FF"/>
    <w:rsid w:val="009D34B8"/>
    <w:rsid w:val="009E5249"/>
    <w:rsid w:val="009F071D"/>
    <w:rsid w:val="009F4282"/>
    <w:rsid w:val="009F5B47"/>
    <w:rsid w:val="009F7E68"/>
    <w:rsid w:val="00A0334F"/>
    <w:rsid w:val="00A036FF"/>
    <w:rsid w:val="00A24B5C"/>
    <w:rsid w:val="00A24EDC"/>
    <w:rsid w:val="00A308C9"/>
    <w:rsid w:val="00A32092"/>
    <w:rsid w:val="00A36669"/>
    <w:rsid w:val="00A666F7"/>
    <w:rsid w:val="00A72906"/>
    <w:rsid w:val="00A729BF"/>
    <w:rsid w:val="00A76024"/>
    <w:rsid w:val="00A82B35"/>
    <w:rsid w:val="00A9508A"/>
    <w:rsid w:val="00AA308F"/>
    <w:rsid w:val="00AA4EE7"/>
    <w:rsid w:val="00AB7CAA"/>
    <w:rsid w:val="00AC2F81"/>
    <w:rsid w:val="00AE07CF"/>
    <w:rsid w:val="00AF48F2"/>
    <w:rsid w:val="00B11DC0"/>
    <w:rsid w:val="00B150A4"/>
    <w:rsid w:val="00B212BD"/>
    <w:rsid w:val="00B36363"/>
    <w:rsid w:val="00B37577"/>
    <w:rsid w:val="00B41D72"/>
    <w:rsid w:val="00B435EE"/>
    <w:rsid w:val="00B45089"/>
    <w:rsid w:val="00B50B0A"/>
    <w:rsid w:val="00B510E3"/>
    <w:rsid w:val="00B54A39"/>
    <w:rsid w:val="00B615A1"/>
    <w:rsid w:val="00B65CAF"/>
    <w:rsid w:val="00B66CFC"/>
    <w:rsid w:val="00B741BC"/>
    <w:rsid w:val="00BB504D"/>
    <w:rsid w:val="00BC05B7"/>
    <w:rsid w:val="00BC0AC8"/>
    <w:rsid w:val="00BD3E06"/>
    <w:rsid w:val="00BD6661"/>
    <w:rsid w:val="00BF3C07"/>
    <w:rsid w:val="00C04C2E"/>
    <w:rsid w:val="00C169A6"/>
    <w:rsid w:val="00C41431"/>
    <w:rsid w:val="00C44AFB"/>
    <w:rsid w:val="00C45343"/>
    <w:rsid w:val="00C5406A"/>
    <w:rsid w:val="00C630A2"/>
    <w:rsid w:val="00C70AF0"/>
    <w:rsid w:val="00CA6A1B"/>
    <w:rsid w:val="00CC5F44"/>
    <w:rsid w:val="00D45312"/>
    <w:rsid w:val="00D466AD"/>
    <w:rsid w:val="00D66A24"/>
    <w:rsid w:val="00D749B8"/>
    <w:rsid w:val="00D750D1"/>
    <w:rsid w:val="00DA7898"/>
    <w:rsid w:val="00DB30D8"/>
    <w:rsid w:val="00DB5344"/>
    <w:rsid w:val="00DB5C36"/>
    <w:rsid w:val="00DC06A4"/>
    <w:rsid w:val="00DC1D1E"/>
    <w:rsid w:val="00DC7349"/>
    <w:rsid w:val="00DC7A8C"/>
    <w:rsid w:val="00DE0F7E"/>
    <w:rsid w:val="00DE154F"/>
    <w:rsid w:val="00E106D4"/>
    <w:rsid w:val="00E1157D"/>
    <w:rsid w:val="00E11763"/>
    <w:rsid w:val="00E16AB6"/>
    <w:rsid w:val="00E236CF"/>
    <w:rsid w:val="00E30D99"/>
    <w:rsid w:val="00E31FAC"/>
    <w:rsid w:val="00E35A55"/>
    <w:rsid w:val="00E51B9B"/>
    <w:rsid w:val="00E70966"/>
    <w:rsid w:val="00E7432B"/>
    <w:rsid w:val="00E747E1"/>
    <w:rsid w:val="00EA7459"/>
    <w:rsid w:val="00EB000E"/>
    <w:rsid w:val="00EC2613"/>
    <w:rsid w:val="00EC2C34"/>
    <w:rsid w:val="00EC30E5"/>
    <w:rsid w:val="00ED7C91"/>
    <w:rsid w:val="00ED7E6D"/>
    <w:rsid w:val="00EF48EE"/>
    <w:rsid w:val="00EF4AF7"/>
    <w:rsid w:val="00F07D3F"/>
    <w:rsid w:val="00F106BC"/>
    <w:rsid w:val="00F15069"/>
    <w:rsid w:val="00F36427"/>
    <w:rsid w:val="00F50C5F"/>
    <w:rsid w:val="00F56473"/>
    <w:rsid w:val="00F67752"/>
    <w:rsid w:val="00F73FCB"/>
    <w:rsid w:val="00F76336"/>
    <w:rsid w:val="00F83C3A"/>
    <w:rsid w:val="00F86BA5"/>
    <w:rsid w:val="00F94A8A"/>
    <w:rsid w:val="00F97224"/>
    <w:rsid w:val="00FA22DB"/>
    <w:rsid w:val="00FA3579"/>
    <w:rsid w:val="00FB2BD3"/>
    <w:rsid w:val="00FB6768"/>
    <w:rsid w:val="00FB7ADD"/>
    <w:rsid w:val="00FC19AA"/>
    <w:rsid w:val="00FC3FEC"/>
    <w:rsid w:val="00FC7085"/>
    <w:rsid w:val="00FD5868"/>
    <w:rsid w:val="00FE68AE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5DD2B"/>
  <w15:chartTrackingRefBased/>
  <w15:docId w15:val="{1FC096AF-1D6E-45B4-B4DD-31ADFE8E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CF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CF7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8B7C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7CF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4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A39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24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1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4F"/>
    <w:rPr>
      <w:rFonts w:ascii="Segoe UI" w:hAnsi="Segoe UI" w:cs="Segoe UI"/>
      <w:sz w:val="18"/>
      <w:szCs w:val="18"/>
    </w:rPr>
  </w:style>
  <w:style w:type="table" w:customStyle="1" w:styleId="TableGrid1">
    <w:name w:val="Table Grid1"/>
    <w:rsid w:val="00607FB4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18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364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220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16F04-94F5-4285-A4FD-CC9E8AD7009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Blaise.Lemke@ngaus.org</dc:creator>
  <cp:keywords/>
  <dc:description/>
  <cp:lastModifiedBy>Mikaila Flagg</cp:lastModifiedBy>
  <cp:revision>79</cp:revision>
  <cp:lastPrinted>2021-04-30T18:54:00Z</cp:lastPrinted>
  <dcterms:created xsi:type="dcterms:W3CDTF">2024-06-13T23:49:00Z</dcterms:created>
  <dcterms:modified xsi:type="dcterms:W3CDTF">2024-08-09T12:46:00Z</dcterms:modified>
</cp:coreProperties>
</file>