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90F32" w14:textId="77777777" w:rsidR="008325DF" w:rsidRDefault="008325DF" w:rsidP="008325DF">
      <w:pPr>
        <w:spacing w:after="0" w:line="259" w:lineRule="auto"/>
        <w:ind w:left="0" w:firstLine="0"/>
        <w:jc w:val="right"/>
      </w:pPr>
      <w:r>
        <w:rPr>
          <w:noProof/>
        </w:rPr>
        <w:drawing>
          <wp:anchor distT="0" distB="0" distL="114300" distR="114300" simplePos="0" relativeHeight="251658240" behindDoc="0" locked="0" layoutInCell="1" allowOverlap="0" wp14:anchorId="61AA90EA" wp14:editId="0770D335">
            <wp:simplePos x="0" y="0"/>
            <wp:positionH relativeFrom="column">
              <wp:posOffset>37</wp:posOffset>
            </wp:positionH>
            <wp:positionV relativeFrom="paragraph">
              <wp:posOffset>-36302</wp:posOffset>
            </wp:positionV>
            <wp:extent cx="2355850" cy="733320"/>
            <wp:effectExtent l="0" t="0" r="0" b="0"/>
            <wp:wrapSquare wrapText="bothSides"/>
            <wp:docPr id="10" name="Picture 10" descr="A 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A blue text on a white background&#10;&#10;Description automatically generated"/>
                    <pic:cNvPicPr/>
                  </pic:nvPicPr>
                  <pic:blipFill>
                    <a:blip r:embed="rId6"/>
                    <a:stretch>
                      <a:fillRect/>
                    </a:stretch>
                  </pic:blipFill>
                  <pic:spPr>
                    <a:xfrm>
                      <a:off x="0" y="0"/>
                      <a:ext cx="2355850" cy="733320"/>
                    </a:xfrm>
                    <a:prstGeom prst="rect">
                      <a:avLst/>
                    </a:prstGeom>
                  </pic:spPr>
                </pic:pic>
              </a:graphicData>
            </a:graphic>
          </wp:anchor>
        </w:drawing>
      </w:r>
      <w:r>
        <w:rPr>
          <w:b/>
          <w:color w:val="1A3866"/>
          <w:sz w:val="28"/>
        </w:rPr>
        <w:t xml:space="preserve"> </w:t>
      </w:r>
    </w:p>
    <w:p w14:paraId="1213CCD2" w14:textId="006E21FE" w:rsidR="008325DF" w:rsidRDefault="0052522C" w:rsidP="008325DF">
      <w:pPr>
        <w:spacing w:after="0" w:line="259" w:lineRule="auto"/>
        <w:ind w:right="61"/>
        <w:jc w:val="right"/>
      </w:pPr>
      <w:r>
        <w:rPr>
          <w:b/>
          <w:color w:val="1A3866"/>
          <w:sz w:val="28"/>
        </w:rPr>
        <w:t xml:space="preserve">House NDAA Executive Summary </w:t>
      </w:r>
      <w:r w:rsidR="008325DF" w:rsidRPr="49506AFE">
        <w:rPr>
          <w:b/>
          <w:bCs/>
          <w:color w:val="1A3866"/>
          <w:sz w:val="28"/>
          <w:szCs w:val="28"/>
        </w:rPr>
        <w:t xml:space="preserve">Memorandum | </w:t>
      </w:r>
      <w:r w:rsidR="003F1E4C">
        <w:rPr>
          <w:b/>
          <w:bCs/>
          <w:color w:val="1A3866"/>
          <w:sz w:val="28"/>
          <w:szCs w:val="28"/>
        </w:rPr>
        <w:t xml:space="preserve">1 July </w:t>
      </w:r>
      <w:r w:rsidR="008325DF" w:rsidRPr="49506AFE">
        <w:rPr>
          <w:b/>
          <w:bCs/>
          <w:color w:val="1A3866"/>
          <w:sz w:val="28"/>
          <w:szCs w:val="28"/>
        </w:rPr>
        <w:t xml:space="preserve">2024 </w:t>
      </w:r>
    </w:p>
    <w:p w14:paraId="0EA1BAA4" w14:textId="77777777" w:rsidR="008325DF" w:rsidRDefault="008325DF" w:rsidP="006A1355">
      <w:pPr>
        <w:spacing w:line="240" w:lineRule="auto"/>
        <w:ind w:left="0" w:right="57" w:firstLine="0"/>
      </w:pPr>
    </w:p>
    <w:p w14:paraId="4F784C9F" w14:textId="77777777" w:rsidR="006A1355" w:rsidRDefault="006A1355" w:rsidP="006A1355">
      <w:pPr>
        <w:spacing w:line="240" w:lineRule="auto"/>
        <w:ind w:left="0" w:right="57" w:firstLine="0"/>
        <w:rPr>
          <w:b/>
          <w:color w:val="1A3866"/>
        </w:rPr>
      </w:pPr>
    </w:p>
    <w:p w14:paraId="3080330B" w14:textId="698CD379" w:rsidR="007F54D8" w:rsidRPr="006A1355" w:rsidRDefault="008325DF" w:rsidP="007F54D8">
      <w:pPr>
        <w:pStyle w:val="Default"/>
        <w:rPr>
          <w:sz w:val="22"/>
          <w:szCs w:val="22"/>
        </w:rPr>
      </w:pPr>
      <w:r w:rsidRPr="006A1355">
        <w:rPr>
          <w:b/>
          <w:color w:val="1A3866"/>
          <w:sz w:val="22"/>
          <w:szCs w:val="22"/>
        </w:rPr>
        <w:t xml:space="preserve">BLUF: </w:t>
      </w:r>
      <w:r w:rsidR="00C86FB4" w:rsidRPr="006A1355">
        <w:rPr>
          <w:bCs/>
          <w:color w:val="auto"/>
          <w:sz w:val="22"/>
          <w:szCs w:val="22"/>
        </w:rPr>
        <w:t xml:space="preserve">On June 14, 2024, the House of Representatives passed </w:t>
      </w:r>
      <w:r w:rsidR="00C86FB4" w:rsidRPr="006A1355">
        <w:rPr>
          <w:bCs/>
          <w:i/>
          <w:iCs/>
          <w:color w:val="auto"/>
          <w:sz w:val="22"/>
          <w:szCs w:val="22"/>
        </w:rPr>
        <w:t xml:space="preserve">H.R.8070 – </w:t>
      </w:r>
      <w:r w:rsidR="00C86FB4" w:rsidRPr="006A1355">
        <w:rPr>
          <w:bCs/>
          <w:i/>
          <w:iCs/>
          <w:color w:val="auto"/>
          <w:spacing w:val="-3"/>
          <w:sz w:val="22"/>
          <w:szCs w:val="22"/>
          <w:shd w:val="clear" w:color="auto" w:fill="FFFFFF"/>
        </w:rPr>
        <w:t xml:space="preserve">Servicemember Quality of Life Improvement and National Defense Authorization Act for Fiscal Year 2025, </w:t>
      </w:r>
      <w:r w:rsidR="00C86FB4" w:rsidRPr="00316551">
        <w:rPr>
          <w:bCs/>
          <w:color w:val="auto"/>
          <w:spacing w:val="-3"/>
          <w:sz w:val="22"/>
          <w:szCs w:val="22"/>
          <w:shd w:val="clear" w:color="auto" w:fill="FFFFFF"/>
        </w:rPr>
        <w:t>with a vote of 217-199.</w:t>
      </w:r>
      <w:r w:rsidR="00C86FB4" w:rsidRPr="006A1355">
        <w:rPr>
          <w:bCs/>
          <w:color w:val="auto"/>
          <w:spacing w:val="-3"/>
          <w:sz w:val="22"/>
          <w:szCs w:val="22"/>
          <w:shd w:val="clear" w:color="auto" w:fill="FFFFFF"/>
        </w:rPr>
        <w:t xml:space="preserve"> </w:t>
      </w:r>
      <w:r w:rsidR="00C86FB4" w:rsidRPr="006A1355">
        <w:rPr>
          <w:b/>
          <w:color w:val="auto"/>
          <w:spacing w:val="-3"/>
          <w:sz w:val="22"/>
          <w:szCs w:val="22"/>
          <w:shd w:val="clear" w:color="auto" w:fill="FFFFFF"/>
        </w:rPr>
        <w:t>Next Step:</w:t>
      </w:r>
      <w:r w:rsidR="00DF5EA8" w:rsidRPr="006A1355">
        <w:rPr>
          <w:bCs/>
          <w:color w:val="auto"/>
          <w:spacing w:val="-3"/>
          <w:sz w:val="22"/>
          <w:szCs w:val="22"/>
          <w:shd w:val="clear" w:color="auto" w:fill="FFFFFF"/>
        </w:rPr>
        <w:t xml:space="preserve"> The full Senate will consider their version of the NDAA. </w:t>
      </w:r>
    </w:p>
    <w:p w14:paraId="2BA1468A" w14:textId="75D712CF" w:rsidR="008325DF" w:rsidRPr="0052522C" w:rsidRDefault="007F54D8" w:rsidP="0052522C">
      <w:pPr>
        <w:spacing w:after="0" w:line="240" w:lineRule="auto"/>
        <w:jc w:val="both"/>
        <w:rPr>
          <w:bCs/>
          <w:color w:val="auto"/>
          <w:spacing w:val="-3"/>
          <w:szCs w:val="22"/>
          <w:shd w:val="clear" w:color="auto" w:fill="FFFFFF"/>
        </w:rPr>
      </w:pPr>
      <w:r>
        <w:t xml:space="preserve"> </w:t>
      </w:r>
    </w:p>
    <w:p w14:paraId="651BF79E" w14:textId="77777777" w:rsidR="008325DF" w:rsidRDefault="008325DF" w:rsidP="008325DF">
      <w:pPr>
        <w:spacing w:after="0" w:line="259" w:lineRule="auto"/>
        <w:ind w:left="0" w:firstLine="0"/>
      </w:pPr>
      <w:r>
        <w:rPr>
          <w:b/>
          <w:color w:val="1A3866"/>
          <w:sz w:val="20"/>
        </w:rPr>
        <w:t xml:space="preserve">Defense Authorizations </w:t>
      </w:r>
    </w:p>
    <w:tbl>
      <w:tblPr>
        <w:tblStyle w:val="TableGrid1"/>
        <w:tblW w:w="9374" w:type="dxa"/>
        <w:tblInd w:w="-14" w:type="dxa"/>
        <w:tblCellMar>
          <w:top w:w="39" w:type="dxa"/>
          <w:bottom w:w="4" w:type="dxa"/>
          <w:right w:w="188" w:type="dxa"/>
        </w:tblCellMar>
        <w:tblLook w:val="04A0" w:firstRow="1" w:lastRow="0" w:firstColumn="1" w:lastColumn="0" w:noHBand="0" w:noVBand="1"/>
      </w:tblPr>
      <w:tblGrid>
        <w:gridCol w:w="1605"/>
        <w:gridCol w:w="1338"/>
        <w:gridCol w:w="1222"/>
        <w:gridCol w:w="1337"/>
        <w:gridCol w:w="1426"/>
        <w:gridCol w:w="1342"/>
        <w:gridCol w:w="1104"/>
      </w:tblGrid>
      <w:tr w:rsidR="008325DF" w14:paraId="445AB3E7" w14:textId="77777777" w:rsidTr="00AA7293">
        <w:trPr>
          <w:trHeight w:val="746"/>
        </w:trPr>
        <w:tc>
          <w:tcPr>
            <w:tcW w:w="1606" w:type="dxa"/>
            <w:tcBorders>
              <w:top w:val="single" w:sz="4" w:space="0" w:color="000000"/>
              <w:left w:val="nil"/>
              <w:bottom w:val="single" w:sz="4" w:space="0" w:color="000000"/>
              <w:right w:val="nil"/>
            </w:tcBorders>
          </w:tcPr>
          <w:p w14:paraId="7CF76048" w14:textId="77777777" w:rsidR="008325DF" w:rsidRDefault="008325DF" w:rsidP="00AA7293">
            <w:pPr>
              <w:spacing w:after="0" w:line="259" w:lineRule="auto"/>
              <w:ind w:left="252" w:firstLine="0"/>
            </w:pPr>
            <w:r>
              <w:rPr>
                <w:b/>
                <w:sz w:val="16"/>
              </w:rPr>
              <w:t xml:space="preserve">President’s </w:t>
            </w:r>
          </w:p>
          <w:p w14:paraId="39359BF9" w14:textId="77777777" w:rsidR="008325DF" w:rsidRDefault="008325DF" w:rsidP="00AA7293">
            <w:pPr>
              <w:spacing w:after="0" w:line="259" w:lineRule="auto"/>
              <w:ind w:left="408" w:firstLine="0"/>
            </w:pPr>
            <w:r>
              <w:rPr>
                <w:b/>
                <w:sz w:val="16"/>
              </w:rPr>
              <w:t xml:space="preserve">Budget </w:t>
            </w:r>
          </w:p>
          <w:p w14:paraId="58AD75FF" w14:textId="77777777" w:rsidR="008325DF" w:rsidRDefault="008325DF" w:rsidP="00AA7293">
            <w:pPr>
              <w:spacing w:after="0" w:line="259" w:lineRule="auto"/>
              <w:ind w:left="382" w:firstLine="0"/>
            </w:pPr>
            <w:r>
              <w:rPr>
                <w:b/>
                <w:sz w:val="16"/>
              </w:rPr>
              <w:t xml:space="preserve">Release </w:t>
            </w:r>
          </w:p>
        </w:tc>
        <w:tc>
          <w:tcPr>
            <w:tcW w:w="1339" w:type="dxa"/>
            <w:tcBorders>
              <w:top w:val="single" w:sz="4" w:space="0" w:color="000000"/>
              <w:left w:val="nil"/>
              <w:bottom w:val="single" w:sz="4" w:space="0" w:color="000000"/>
              <w:right w:val="nil"/>
            </w:tcBorders>
          </w:tcPr>
          <w:p w14:paraId="1194AFFA" w14:textId="77777777" w:rsidR="008325DF" w:rsidRDefault="008325DF" w:rsidP="00AA7293">
            <w:pPr>
              <w:spacing w:after="0" w:line="259" w:lineRule="auto"/>
              <w:ind w:left="168" w:firstLine="0"/>
            </w:pPr>
            <w:r>
              <w:rPr>
                <w:b/>
                <w:sz w:val="16"/>
              </w:rPr>
              <w:t xml:space="preserve">House </w:t>
            </w:r>
          </w:p>
          <w:p w14:paraId="102FB25C" w14:textId="77777777" w:rsidR="008325DF" w:rsidRDefault="008325DF" w:rsidP="00AA7293">
            <w:pPr>
              <w:spacing w:after="0" w:line="259" w:lineRule="auto"/>
              <w:ind w:left="0" w:firstLine="0"/>
            </w:pPr>
            <w:r>
              <w:rPr>
                <w:b/>
                <w:sz w:val="16"/>
              </w:rPr>
              <w:t xml:space="preserve">Committee </w:t>
            </w:r>
          </w:p>
          <w:p w14:paraId="10DA312A" w14:textId="77777777" w:rsidR="008325DF" w:rsidRDefault="008325DF" w:rsidP="00AA7293">
            <w:pPr>
              <w:spacing w:after="0" w:line="259" w:lineRule="auto"/>
              <w:ind w:left="182" w:firstLine="0"/>
            </w:pPr>
            <w:r>
              <w:rPr>
                <w:b/>
                <w:sz w:val="16"/>
              </w:rPr>
              <w:t xml:space="preserve">NDAA </w:t>
            </w:r>
          </w:p>
          <w:p w14:paraId="1D9CE583" w14:textId="77777777" w:rsidR="008325DF" w:rsidRDefault="008325DF" w:rsidP="00AA7293">
            <w:pPr>
              <w:spacing w:after="0" w:line="259" w:lineRule="auto"/>
              <w:ind w:left="134" w:firstLine="0"/>
            </w:pPr>
            <w:r>
              <w:rPr>
                <w:b/>
                <w:sz w:val="16"/>
              </w:rPr>
              <w:t xml:space="preserve">(HASC) </w:t>
            </w:r>
          </w:p>
        </w:tc>
        <w:tc>
          <w:tcPr>
            <w:tcW w:w="1222" w:type="dxa"/>
            <w:tcBorders>
              <w:top w:val="single" w:sz="4" w:space="0" w:color="000000"/>
              <w:left w:val="nil"/>
              <w:bottom w:val="single" w:sz="4" w:space="0" w:color="000000"/>
              <w:right w:val="nil"/>
            </w:tcBorders>
          </w:tcPr>
          <w:p w14:paraId="271D907C" w14:textId="77777777" w:rsidR="008325DF" w:rsidRDefault="008325DF" w:rsidP="00AA7293">
            <w:pPr>
              <w:spacing w:after="0" w:line="259" w:lineRule="auto"/>
              <w:ind w:left="151" w:firstLine="0"/>
            </w:pPr>
            <w:r>
              <w:rPr>
                <w:b/>
                <w:sz w:val="16"/>
              </w:rPr>
              <w:t xml:space="preserve">Senate </w:t>
            </w:r>
          </w:p>
          <w:p w14:paraId="343C99DF" w14:textId="77777777" w:rsidR="008325DF" w:rsidRDefault="008325DF" w:rsidP="00AA7293">
            <w:pPr>
              <w:spacing w:after="0" w:line="259" w:lineRule="auto"/>
              <w:ind w:left="0" w:firstLine="0"/>
            </w:pPr>
            <w:r>
              <w:rPr>
                <w:b/>
                <w:sz w:val="16"/>
              </w:rPr>
              <w:t xml:space="preserve">Committee </w:t>
            </w:r>
          </w:p>
          <w:p w14:paraId="13E7DC07" w14:textId="77777777" w:rsidR="008325DF" w:rsidRDefault="008325DF" w:rsidP="00AA7293">
            <w:pPr>
              <w:spacing w:after="0" w:line="259" w:lineRule="auto"/>
              <w:ind w:left="182" w:firstLine="0"/>
            </w:pPr>
            <w:r>
              <w:rPr>
                <w:b/>
                <w:sz w:val="16"/>
              </w:rPr>
              <w:t xml:space="preserve">NDAA </w:t>
            </w:r>
          </w:p>
          <w:p w14:paraId="40F0AE1E" w14:textId="77777777" w:rsidR="008325DF" w:rsidRDefault="008325DF" w:rsidP="00AA7293">
            <w:pPr>
              <w:spacing w:after="0" w:line="259" w:lineRule="auto"/>
              <w:ind w:left="137" w:firstLine="0"/>
            </w:pPr>
            <w:r>
              <w:rPr>
                <w:b/>
                <w:sz w:val="16"/>
              </w:rPr>
              <w:t xml:space="preserve">(SASC) </w:t>
            </w:r>
          </w:p>
        </w:tc>
        <w:tc>
          <w:tcPr>
            <w:tcW w:w="1337" w:type="dxa"/>
            <w:tcBorders>
              <w:top w:val="single" w:sz="4" w:space="0" w:color="000000"/>
              <w:left w:val="nil"/>
              <w:bottom w:val="single" w:sz="4" w:space="0" w:color="000000"/>
              <w:right w:val="nil"/>
            </w:tcBorders>
            <w:vAlign w:val="center"/>
          </w:tcPr>
          <w:p w14:paraId="6C5489DD" w14:textId="77777777" w:rsidR="008325DF" w:rsidRDefault="008325DF" w:rsidP="00AA7293">
            <w:pPr>
              <w:spacing w:after="0" w:line="259" w:lineRule="auto"/>
              <w:ind w:left="0" w:firstLine="94"/>
              <w:jc w:val="center"/>
            </w:pPr>
            <w:r>
              <w:rPr>
                <w:b/>
                <w:sz w:val="16"/>
              </w:rPr>
              <w:t>Full House- passed NDAA</w:t>
            </w:r>
          </w:p>
        </w:tc>
        <w:tc>
          <w:tcPr>
            <w:tcW w:w="1426" w:type="dxa"/>
            <w:tcBorders>
              <w:top w:val="single" w:sz="4" w:space="0" w:color="000000"/>
              <w:left w:val="nil"/>
              <w:bottom w:val="single" w:sz="4" w:space="0" w:color="000000"/>
              <w:right w:val="nil"/>
            </w:tcBorders>
            <w:vAlign w:val="center"/>
          </w:tcPr>
          <w:p w14:paraId="0239E2BE" w14:textId="77777777" w:rsidR="008325DF" w:rsidRDefault="008325DF" w:rsidP="00AA7293">
            <w:pPr>
              <w:spacing w:after="0" w:line="259" w:lineRule="auto"/>
              <w:ind w:left="0" w:firstLine="74"/>
              <w:jc w:val="center"/>
            </w:pPr>
            <w:r>
              <w:rPr>
                <w:b/>
                <w:sz w:val="16"/>
              </w:rPr>
              <w:t>Full Senate- passed NDAA</w:t>
            </w:r>
          </w:p>
        </w:tc>
        <w:tc>
          <w:tcPr>
            <w:tcW w:w="1342" w:type="dxa"/>
            <w:tcBorders>
              <w:top w:val="single" w:sz="4" w:space="0" w:color="000000"/>
              <w:left w:val="nil"/>
              <w:bottom w:val="single" w:sz="4" w:space="0" w:color="000000"/>
              <w:right w:val="nil"/>
            </w:tcBorders>
            <w:vAlign w:val="center"/>
          </w:tcPr>
          <w:p w14:paraId="01BC4574" w14:textId="77777777" w:rsidR="008325DF" w:rsidRDefault="008325DF" w:rsidP="00AA7293">
            <w:pPr>
              <w:spacing w:after="0" w:line="259" w:lineRule="auto"/>
              <w:ind w:left="26" w:hanging="26"/>
            </w:pPr>
            <w:r>
              <w:rPr>
                <w:b/>
                <w:sz w:val="16"/>
              </w:rPr>
              <w:t xml:space="preserve">Conference Committee </w:t>
            </w:r>
          </w:p>
        </w:tc>
        <w:tc>
          <w:tcPr>
            <w:tcW w:w="1104" w:type="dxa"/>
            <w:tcBorders>
              <w:top w:val="single" w:sz="4" w:space="0" w:color="000000"/>
              <w:left w:val="nil"/>
              <w:bottom w:val="single" w:sz="4" w:space="0" w:color="000000"/>
              <w:right w:val="nil"/>
            </w:tcBorders>
            <w:vAlign w:val="center"/>
          </w:tcPr>
          <w:p w14:paraId="2EC12FFC" w14:textId="77777777" w:rsidR="008325DF" w:rsidRDefault="008325DF" w:rsidP="00AA7293">
            <w:pPr>
              <w:spacing w:after="0" w:line="259" w:lineRule="auto"/>
              <w:ind w:left="278" w:hanging="278"/>
            </w:pPr>
            <w:r>
              <w:rPr>
                <w:b/>
                <w:sz w:val="16"/>
              </w:rPr>
              <w:t xml:space="preserve">Signed Into Law </w:t>
            </w:r>
          </w:p>
        </w:tc>
      </w:tr>
      <w:tr w:rsidR="008325DF" w14:paraId="772DB67E" w14:textId="77777777" w:rsidTr="000860FA">
        <w:trPr>
          <w:trHeight w:val="1058"/>
        </w:trPr>
        <w:tc>
          <w:tcPr>
            <w:tcW w:w="2945" w:type="dxa"/>
            <w:gridSpan w:val="2"/>
            <w:tcBorders>
              <w:top w:val="single" w:sz="4" w:space="0" w:color="000000"/>
              <w:left w:val="nil"/>
              <w:bottom w:val="single" w:sz="4" w:space="0" w:color="000000"/>
              <w:right w:val="nil"/>
            </w:tcBorders>
          </w:tcPr>
          <w:p w14:paraId="66B4838D" w14:textId="16BBFF2A" w:rsidR="008325DF" w:rsidRDefault="008325DF" w:rsidP="00AA7293">
            <w:pPr>
              <w:tabs>
                <w:tab w:val="center" w:pos="735"/>
                <w:tab w:val="center" w:pos="1747"/>
              </w:tabs>
              <w:spacing w:after="0" w:line="259" w:lineRule="auto"/>
              <w:ind w:left="0" w:firstLine="0"/>
            </w:pPr>
            <w:r>
              <w:rPr>
                <w:sz w:val="20"/>
              </w:rPr>
              <w:t xml:space="preserve">         </w:t>
            </w:r>
            <w:r>
              <w:rPr>
                <w:sz w:val="20"/>
              </w:rPr>
              <w:tab/>
            </w:r>
            <w:r w:rsidR="00CF6721" w:rsidRPr="00594DB2">
              <w:rPr>
                <w:rFonts w:ascii="Athelas" w:hAnsi="Athelas"/>
                <w:szCs w:val="20"/>
              </w:rPr>
              <w:sym w:font="Wingdings" w:char="F0FC"/>
            </w:r>
            <w:r>
              <w:rPr>
                <w:sz w:val="20"/>
              </w:rPr>
              <w:t xml:space="preserve"> </w:t>
            </w:r>
            <w:r>
              <w:rPr>
                <w:sz w:val="20"/>
              </w:rPr>
              <w:tab/>
              <w:t xml:space="preserve">    </w:t>
            </w:r>
            <w:r w:rsidR="00955038">
              <w:rPr>
                <w:sz w:val="20"/>
              </w:rPr>
              <w:t xml:space="preserve">     </w:t>
            </w:r>
            <w:r w:rsidR="00CF6721" w:rsidRPr="00594DB2">
              <w:rPr>
                <w:rFonts w:ascii="Athelas" w:hAnsi="Athelas"/>
                <w:szCs w:val="20"/>
              </w:rPr>
              <w:sym w:font="Wingdings" w:char="F0FC"/>
            </w:r>
            <w:r>
              <w:rPr>
                <w:sz w:val="20"/>
              </w:rPr>
              <w:t xml:space="preserve">   </w:t>
            </w:r>
          </w:p>
          <w:p w14:paraId="3627A1DF" w14:textId="77777777" w:rsidR="008325DF" w:rsidRDefault="008325DF" w:rsidP="00AA7293">
            <w:pPr>
              <w:spacing w:after="167" w:line="259" w:lineRule="auto"/>
              <w:ind w:left="734" w:firstLine="0"/>
            </w:pPr>
            <w:r>
              <w:rPr>
                <w:sz w:val="18"/>
              </w:rPr>
              <w:t xml:space="preserve">               </w:t>
            </w:r>
          </w:p>
          <w:p w14:paraId="2979C633" w14:textId="77777777" w:rsidR="008325DF" w:rsidRDefault="008325DF" w:rsidP="00AA7293">
            <w:pPr>
              <w:spacing w:after="0" w:line="259" w:lineRule="auto"/>
              <w:ind w:left="14" w:firstLine="0"/>
            </w:pPr>
            <w:r>
              <w:rPr>
                <w:b/>
                <w:color w:val="1A3866"/>
                <w:sz w:val="20"/>
              </w:rPr>
              <w:t xml:space="preserve">Defense Appropriations </w:t>
            </w:r>
          </w:p>
        </w:tc>
        <w:tc>
          <w:tcPr>
            <w:tcW w:w="1222" w:type="dxa"/>
            <w:tcBorders>
              <w:top w:val="single" w:sz="4" w:space="0" w:color="000000"/>
              <w:left w:val="nil"/>
              <w:bottom w:val="single" w:sz="4" w:space="0" w:color="000000"/>
              <w:right w:val="nil"/>
            </w:tcBorders>
          </w:tcPr>
          <w:p w14:paraId="3FB5525E" w14:textId="0476FBD1" w:rsidR="008325DF" w:rsidRPr="00B77AE3" w:rsidRDefault="008325DF" w:rsidP="00AA7293">
            <w:pPr>
              <w:spacing w:after="160" w:line="259" w:lineRule="auto"/>
              <w:ind w:left="0" w:firstLine="0"/>
              <w:rPr>
                <w:sz w:val="18"/>
                <w:szCs w:val="18"/>
              </w:rPr>
            </w:pPr>
            <w:r w:rsidRPr="00B77AE3">
              <w:rPr>
                <w:sz w:val="18"/>
                <w:szCs w:val="18"/>
              </w:rPr>
              <w:t xml:space="preserve"> </w:t>
            </w:r>
            <w:r w:rsidR="00CF6721">
              <w:rPr>
                <w:sz w:val="18"/>
                <w:szCs w:val="18"/>
              </w:rPr>
              <w:t xml:space="preserve">     </w:t>
            </w:r>
            <w:r w:rsidRPr="00B77AE3">
              <w:rPr>
                <w:sz w:val="18"/>
                <w:szCs w:val="18"/>
              </w:rPr>
              <w:t xml:space="preserve"> </w:t>
            </w:r>
            <w:r>
              <w:rPr>
                <w:sz w:val="18"/>
                <w:szCs w:val="18"/>
              </w:rPr>
              <w:t xml:space="preserve"> </w:t>
            </w:r>
            <w:r w:rsidR="00CF6721" w:rsidRPr="00594DB2">
              <w:rPr>
                <w:rFonts w:ascii="Athelas" w:hAnsi="Athelas"/>
                <w:szCs w:val="20"/>
              </w:rPr>
              <w:sym w:font="Wingdings" w:char="F0FC"/>
            </w:r>
            <w:r>
              <w:rPr>
                <w:sz w:val="18"/>
                <w:szCs w:val="18"/>
              </w:rPr>
              <w:t xml:space="preserve"> </w:t>
            </w:r>
            <w:r w:rsidR="000860FA">
              <w:rPr>
                <w:sz w:val="18"/>
                <w:szCs w:val="18"/>
              </w:rPr>
              <w:t xml:space="preserve">            </w:t>
            </w:r>
            <w:r>
              <w:rPr>
                <w:sz w:val="20"/>
              </w:rPr>
              <w:t xml:space="preserve">  </w:t>
            </w:r>
          </w:p>
        </w:tc>
        <w:tc>
          <w:tcPr>
            <w:tcW w:w="1337" w:type="dxa"/>
            <w:tcBorders>
              <w:top w:val="single" w:sz="4" w:space="0" w:color="000000"/>
              <w:left w:val="nil"/>
              <w:bottom w:val="single" w:sz="4" w:space="0" w:color="000000"/>
              <w:right w:val="nil"/>
            </w:tcBorders>
          </w:tcPr>
          <w:p w14:paraId="2A25B0B3" w14:textId="0B9D0054" w:rsidR="00DD680B" w:rsidRPr="000860FA" w:rsidRDefault="000860FA" w:rsidP="00DD680B">
            <w:pPr>
              <w:spacing w:after="160" w:line="259" w:lineRule="auto"/>
              <w:ind w:left="0" w:firstLine="0"/>
              <w:rPr>
                <w:sz w:val="20"/>
              </w:rPr>
            </w:pPr>
            <w:r>
              <w:t xml:space="preserve"> </w:t>
            </w:r>
            <w:r w:rsidR="00DD680B">
              <w:t xml:space="preserve">     </w:t>
            </w:r>
            <w:r>
              <w:rPr>
                <w:sz w:val="20"/>
              </w:rPr>
              <w:t xml:space="preserve">▲ </w:t>
            </w:r>
            <w:r w:rsidR="00DD680B" w:rsidRPr="00504262">
              <w:rPr>
                <w:sz w:val="18"/>
                <w:szCs w:val="22"/>
              </w:rPr>
              <w:t>Current Point</w:t>
            </w:r>
          </w:p>
        </w:tc>
        <w:tc>
          <w:tcPr>
            <w:tcW w:w="1426" w:type="dxa"/>
            <w:tcBorders>
              <w:top w:val="single" w:sz="4" w:space="0" w:color="000000"/>
              <w:left w:val="nil"/>
              <w:bottom w:val="single" w:sz="4" w:space="0" w:color="000000"/>
              <w:right w:val="nil"/>
            </w:tcBorders>
          </w:tcPr>
          <w:p w14:paraId="02F8809F" w14:textId="77777777" w:rsidR="008325DF" w:rsidRDefault="008325DF" w:rsidP="00AA7293">
            <w:pPr>
              <w:spacing w:after="160" w:line="259" w:lineRule="auto"/>
              <w:ind w:left="0" w:firstLine="0"/>
            </w:pPr>
          </w:p>
        </w:tc>
        <w:tc>
          <w:tcPr>
            <w:tcW w:w="1342" w:type="dxa"/>
            <w:tcBorders>
              <w:top w:val="single" w:sz="4" w:space="0" w:color="000000"/>
              <w:left w:val="nil"/>
              <w:bottom w:val="single" w:sz="4" w:space="0" w:color="000000"/>
              <w:right w:val="nil"/>
            </w:tcBorders>
            <w:vAlign w:val="bottom"/>
          </w:tcPr>
          <w:p w14:paraId="126B1314" w14:textId="77777777" w:rsidR="008325DF" w:rsidRDefault="008325DF" w:rsidP="00AA7293">
            <w:pPr>
              <w:spacing w:after="0" w:line="259" w:lineRule="auto"/>
              <w:ind w:left="902" w:firstLine="0"/>
              <w:jc w:val="center"/>
            </w:pPr>
            <w:r>
              <w:rPr>
                <w:sz w:val="16"/>
              </w:rPr>
              <w:t xml:space="preserve"> </w:t>
            </w:r>
          </w:p>
        </w:tc>
        <w:tc>
          <w:tcPr>
            <w:tcW w:w="1104" w:type="dxa"/>
            <w:tcBorders>
              <w:top w:val="single" w:sz="4" w:space="0" w:color="000000"/>
              <w:left w:val="nil"/>
              <w:bottom w:val="single" w:sz="4" w:space="0" w:color="000000"/>
              <w:right w:val="nil"/>
            </w:tcBorders>
          </w:tcPr>
          <w:p w14:paraId="30C7AC67" w14:textId="77777777" w:rsidR="008325DF" w:rsidRDefault="008325DF" w:rsidP="00AA7293">
            <w:pPr>
              <w:spacing w:after="160" w:line="259" w:lineRule="auto"/>
              <w:ind w:left="0" w:firstLine="0"/>
            </w:pPr>
          </w:p>
        </w:tc>
      </w:tr>
      <w:tr w:rsidR="008325DF" w14:paraId="1A8AE8AB" w14:textId="77777777" w:rsidTr="00AA7293">
        <w:trPr>
          <w:trHeight w:val="746"/>
        </w:trPr>
        <w:tc>
          <w:tcPr>
            <w:tcW w:w="1606" w:type="dxa"/>
            <w:tcBorders>
              <w:top w:val="single" w:sz="4" w:space="0" w:color="000000"/>
              <w:left w:val="nil"/>
              <w:bottom w:val="single" w:sz="4" w:space="0" w:color="000000"/>
              <w:right w:val="nil"/>
            </w:tcBorders>
          </w:tcPr>
          <w:p w14:paraId="2FBF0020" w14:textId="77777777" w:rsidR="008325DF" w:rsidRDefault="008325DF" w:rsidP="00AA7293">
            <w:pPr>
              <w:spacing w:after="0" w:line="259" w:lineRule="auto"/>
              <w:ind w:left="252" w:firstLine="0"/>
            </w:pPr>
            <w:r>
              <w:rPr>
                <w:b/>
                <w:sz w:val="16"/>
              </w:rPr>
              <w:t xml:space="preserve">President’s </w:t>
            </w:r>
          </w:p>
          <w:p w14:paraId="4D74AB4F" w14:textId="77777777" w:rsidR="008325DF" w:rsidRDefault="008325DF" w:rsidP="00AA7293">
            <w:pPr>
              <w:spacing w:after="0" w:line="259" w:lineRule="auto"/>
              <w:ind w:left="408" w:firstLine="0"/>
            </w:pPr>
            <w:r>
              <w:rPr>
                <w:b/>
                <w:sz w:val="16"/>
              </w:rPr>
              <w:t xml:space="preserve">Budget </w:t>
            </w:r>
          </w:p>
          <w:p w14:paraId="0FDCCDD1" w14:textId="77777777" w:rsidR="008325DF" w:rsidRDefault="008325DF" w:rsidP="00AA7293">
            <w:pPr>
              <w:spacing w:after="0" w:line="259" w:lineRule="auto"/>
              <w:ind w:left="382" w:firstLine="0"/>
            </w:pPr>
            <w:r>
              <w:rPr>
                <w:b/>
                <w:sz w:val="16"/>
              </w:rPr>
              <w:t xml:space="preserve">Release </w:t>
            </w:r>
          </w:p>
        </w:tc>
        <w:tc>
          <w:tcPr>
            <w:tcW w:w="1339" w:type="dxa"/>
            <w:tcBorders>
              <w:top w:val="single" w:sz="4" w:space="0" w:color="000000"/>
              <w:left w:val="nil"/>
              <w:bottom w:val="single" w:sz="4" w:space="0" w:color="000000"/>
              <w:right w:val="nil"/>
            </w:tcBorders>
          </w:tcPr>
          <w:p w14:paraId="24D095C8" w14:textId="77777777" w:rsidR="008325DF" w:rsidRDefault="008325DF" w:rsidP="00AA7293">
            <w:pPr>
              <w:spacing w:after="0" w:line="259" w:lineRule="auto"/>
              <w:ind w:left="168" w:firstLine="0"/>
            </w:pPr>
            <w:r>
              <w:rPr>
                <w:b/>
                <w:sz w:val="16"/>
              </w:rPr>
              <w:t xml:space="preserve">House </w:t>
            </w:r>
          </w:p>
          <w:p w14:paraId="710EDEBD" w14:textId="77777777" w:rsidR="008325DF" w:rsidRDefault="008325DF" w:rsidP="00AA7293">
            <w:pPr>
              <w:spacing w:after="0" w:line="240" w:lineRule="auto"/>
              <w:ind w:left="62" w:hanging="62"/>
            </w:pPr>
            <w:r>
              <w:rPr>
                <w:b/>
                <w:sz w:val="16"/>
              </w:rPr>
              <w:t xml:space="preserve">Committee </w:t>
            </w:r>
            <w:proofErr w:type="spellStart"/>
            <w:r>
              <w:rPr>
                <w:b/>
                <w:sz w:val="16"/>
              </w:rPr>
              <w:t>Approps</w:t>
            </w:r>
            <w:proofErr w:type="spellEnd"/>
            <w:r>
              <w:rPr>
                <w:b/>
                <w:sz w:val="16"/>
              </w:rPr>
              <w:t xml:space="preserve">. </w:t>
            </w:r>
          </w:p>
          <w:p w14:paraId="6283E4A1" w14:textId="77777777" w:rsidR="008325DF" w:rsidRDefault="008325DF" w:rsidP="00AA7293">
            <w:pPr>
              <w:spacing w:after="0" w:line="259" w:lineRule="auto"/>
              <w:ind w:left="103" w:firstLine="0"/>
            </w:pPr>
            <w:r>
              <w:rPr>
                <w:b/>
                <w:sz w:val="16"/>
              </w:rPr>
              <w:t xml:space="preserve">(HAC-D) </w:t>
            </w:r>
          </w:p>
        </w:tc>
        <w:tc>
          <w:tcPr>
            <w:tcW w:w="1222" w:type="dxa"/>
            <w:tcBorders>
              <w:top w:val="single" w:sz="4" w:space="0" w:color="000000"/>
              <w:left w:val="nil"/>
              <w:bottom w:val="single" w:sz="4" w:space="0" w:color="000000"/>
              <w:right w:val="nil"/>
            </w:tcBorders>
          </w:tcPr>
          <w:p w14:paraId="78E6EAF2" w14:textId="77777777" w:rsidR="008325DF" w:rsidRDefault="008325DF" w:rsidP="00AA7293">
            <w:pPr>
              <w:spacing w:after="0" w:line="259" w:lineRule="auto"/>
              <w:ind w:left="151" w:firstLine="0"/>
            </w:pPr>
            <w:r>
              <w:rPr>
                <w:b/>
                <w:sz w:val="16"/>
              </w:rPr>
              <w:t xml:space="preserve">Senate </w:t>
            </w:r>
          </w:p>
          <w:p w14:paraId="4DD04CC9" w14:textId="77777777" w:rsidR="008325DF" w:rsidRDefault="008325DF" w:rsidP="00AA7293">
            <w:pPr>
              <w:spacing w:after="0" w:line="240" w:lineRule="auto"/>
              <w:ind w:left="62" w:hanging="62"/>
            </w:pPr>
            <w:r>
              <w:rPr>
                <w:b/>
                <w:sz w:val="16"/>
              </w:rPr>
              <w:t xml:space="preserve">Committee </w:t>
            </w:r>
            <w:proofErr w:type="spellStart"/>
            <w:r>
              <w:rPr>
                <w:b/>
                <w:sz w:val="16"/>
              </w:rPr>
              <w:t>Approps</w:t>
            </w:r>
            <w:proofErr w:type="spellEnd"/>
            <w:r>
              <w:rPr>
                <w:b/>
                <w:sz w:val="16"/>
              </w:rPr>
              <w:t xml:space="preserve">. </w:t>
            </w:r>
          </w:p>
          <w:p w14:paraId="4B1E930F" w14:textId="77777777" w:rsidR="008325DF" w:rsidRDefault="008325DF" w:rsidP="00AA7293">
            <w:pPr>
              <w:spacing w:after="0" w:line="259" w:lineRule="auto"/>
              <w:ind w:left="106" w:firstLine="0"/>
            </w:pPr>
            <w:r>
              <w:rPr>
                <w:b/>
                <w:sz w:val="16"/>
              </w:rPr>
              <w:t xml:space="preserve">(SAC-D) </w:t>
            </w:r>
          </w:p>
        </w:tc>
        <w:tc>
          <w:tcPr>
            <w:tcW w:w="1337" w:type="dxa"/>
            <w:tcBorders>
              <w:top w:val="single" w:sz="4" w:space="0" w:color="000000"/>
              <w:left w:val="nil"/>
              <w:bottom w:val="single" w:sz="4" w:space="0" w:color="000000"/>
              <w:right w:val="nil"/>
            </w:tcBorders>
          </w:tcPr>
          <w:p w14:paraId="6EFC90B2" w14:textId="77777777" w:rsidR="008325DF" w:rsidRDefault="008325DF" w:rsidP="00AA7293">
            <w:pPr>
              <w:spacing w:after="0" w:line="240" w:lineRule="auto"/>
              <w:ind w:left="252" w:hanging="158"/>
            </w:pPr>
            <w:r>
              <w:rPr>
                <w:b/>
                <w:sz w:val="16"/>
              </w:rPr>
              <w:t>Full House- passed</w:t>
            </w:r>
          </w:p>
          <w:p w14:paraId="6A47EC3B" w14:textId="77777777" w:rsidR="008325DF" w:rsidRDefault="008325DF" w:rsidP="00AA7293">
            <w:pPr>
              <w:spacing w:after="0" w:line="259" w:lineRule="auto"/>
              <w:ind w:firstLine="0"/>
            </w:pPr>
            <w:proofErr w:type="spellStart"/>
            <w:r>
              <w:rPr>
                <w:b/>
                <w:sz w:val="16"/>
              </w:rPr>
              <w:t>Approps</w:t>
            </w:r>
            <w:proofErr w:type="spellEnd"/>
            <w:r>
              <w:rPr>
                <w:b/>
                <w:sz w:val="16"/>
              </w:rPr>
              <w:t>. Bill.</w:t>
            </w:r>
          </w:p>
        </w:tc>
        <w:tc>
          <w:tcPr>
            <w:tcW w:w="1426" w:type="dxa"/>
            <w:tcBorders>
              <w:top w:val="single" w:sz="4" w:space="0" w:color="000000"/>
              <w:left w:val="nil"/>
              <w:bottom w:val="single" w:sz="4" w:space="0" w:color="000000"/>
              <w:right w:val="nil"/>
            </w:tcBorders>
          </w:tcPr>
          <w:p w14:paraId="643E7F1B" w14:textId="77777777" w:rsidR="008325DF" w:rsidRDefault="008325DF" w:rsidP="00AA7293">
            <w:pPr>
              <w:spacing w:after="0" w:line="240" w:lineRule="auto"/>
              <w:ind w:left="252" w:hanging="178"/>
            </w:pPr>
            <w:r>
              <w:rPr>
                <w:b/>
                <w:sz w:val="16"/>
              </w:rPr>
              <w:t>Full Senate- passed</w:t>
            </w:r>
          </w:p>
          <w:p w14:paraId="4C9F0952" w14:textId="77777777" w:rsidR="008325DF" w:rsidRDefault="008325DF" w:rsidP="00AA7293">
            <w:pPr>
              <w:spacing w:after="0" w:line="259" w:lineRule="auto"/>
              <w:ind w:left="31" w:firstLine="0"/>
            </w:pPr>
            <w:proofErr w:type="spellStart"/>
            <w:r>
              <w:rPr>
                <w:b/>
                <w:sz w:val="16"/>
              </w:rPr>
              <w:t>Approps</w:t>
            </w:r>
            <w:proofErr w:type="spellEnd"/>
            <w:r>
              <w:rPr>
                <w:b/>
                <w:sz w:val="16"/>
              </w:rPr>
              <w:t>. Bill</w:t>
            </w:r>
          </w:p>
        </w:tc>
        <w:tc>
          <w:tcPr>
            <w:tcW w:w="1342" w:type="dxa"/>
            <w:tcBorders>
              <w:top w:val="single" w:sz="4" w:space="0" w:color="000000"/>
              <w:left w:val="nil"/>
              <w:bottom w:val="single" w:sz="4" w:space="0" w:color="000000"/>
              <w:right w:val="nil"/>
            </w:tcBorders>
            <w:vAlign w:val="center"/>
          </w:tcPr>
          <w:p w14:paraId="0C3578D1" w14:textId="77777777" w:rsidR="008325DF" w:rsidRDefault="008325DF" w:rsidP="00AA7293">
            <w:pPr>
              <w:spacing w:after="0" w:line="259" w:lineRule="auto"/>
              <w:ind w:left="26" w:hanging="26"/>
            </w:pPr>
            <w:r>
              <w:rPr>
                <w:b/>
                <w:sz w:val="16"/>
              </w:rPr>
              <w:t>Conference Committee</w:t>
            </w:r>
          </w:p>
        </w:tc>
        <w:tc>
          <w:tcPr>
            <w:tcW w:w="1104" w:type="dxa"/>
            <w:tcBorders>
              <w:top w:val="single" w:sz="4" w:space="0" w:color="000000"/>
              <w:left w:val="nil"/>
              <w:bottom w:val="single" w:sz="4" w:space="0" w:color="000000"/>
              <w:right w:val="nil"/>
            </w:tcBorders>
            <w:vAlign w:val="center"/>
          </w:tcPr>
          <w:p w14:paraId="7A689E39" w14:textId="77777777" w:rsidR="008325DF" w:rsidRDefault="008325DF" w:rsidP="00AA7293">
            <w:pPr>
              <w:spacing w:after="0" w:line="259" w:lineRule="auto"/>
              <w:ind w:left="278" w:hanging="278"/>
            </w:pPr>
            <w:r>
              <w:rPr>
                <w:b/>
                <w:sz w:val="16"/>
              </w:rPr>
              <w:t>Signed Into Law</w:t>
            </w:r>
          </w:p>
        </w:tc>
      </w:tr>
    </w:tbl>
    <w:p w14:paraId="5E0CBA9E" w14:textId="4E55D814" w:rsidR="008325DF" w:rsidRDefault="008325DF" w:rsidP="008325DF">
      <w:pPr>
        <w:tabs>
          <w:tab w:val="center" w:pos="720"/>
          <w:tab w:val="center" w:pos="1733"/>
        </w:tabs>
        <w:spacing w:after="0" w:line="259" w:lineRule="auto"/>
        <w:ind w:left="0" w:firstLine="0"/>
      </w:pPr>
      <w:r>
        <w:rPr>
          <w:sz w:val="20"/>
        </w:rPr>
        <w:t xml:space="preserve">         </w:t>
      </w:r>
      <w:r>
        <w:rPr>
          <w:sz w:val="20"/>
        </w:rPr>
        <w:tab/>
      </w:r>
      <w:r w:rsidR="00955038" w:rsidRPr="00594DB2">
        <w:rPr>
          <w:rFonts w:ascii="Athelas" w:hAnsi="Athelas"/>
          <w:szCs w:val="20"/>
        </w:rPr>
        <w:sym w:font="Wingdings" w:char="F0FC"/>
      </w:r>
      <w:r>
        <w:rPr>
          <w:sz w:val="20"/>
        </w:rPr>
        <w:tab/>
        <w:t xml:space="preserve">     </w:t>
      </w:r>
      <w:r w:rsidR="001030AC" w:rsidRPr="00594DB2">
        <w:rPr>
          <w:rFonts w:ascii="Athelas" w:hAnsi="Athelas"/>
          <w:szCs w:val="20"/>
        </w:rPr>
        <w:sym w:font="Wingdings" w:char="F0FC"/>
      </w:r>
      <w:r>
        <w:rPr>
          <w:sz w:val="20"/>
        </w:rPr>
        <w:t xml:space="preserve"> </w:t>
      </w:r>
      <w:r w:rsidR="00AC5C50">
        <w:rPr>
          <w:sz w:val="20"/>
        </w:rPr>
        <w:t xml:space="preserve">           </w:t>
      </w:r>
      <w:r w:rsidR="00644A73">
        <w:rPr>
          <w:sz w:val="20"/>
        </w:rPr>
        <w:tab/>
      </w:r>
      <w:r w:rsidR="00AC5C50">
        <w:rPr>
          <w:sz w:val="20"/>
        </w:rPr>
        <w:t xml:space="preserve">       </w:t>
      </w:r>
      <w:r w:rsidR="00DD680B">
        <w:rPr>
          <w:sz w:val="20"/>
        </w:rPr>
        <w:t>▲</w:t>
      </w:r>
      <w:r w:rsidR="00AC5C50">
        <w:rPr>
          <w:sz w:val="20"/>
        </w:rPr>
        <w:t xml:space="preserve">     </w:t>
      </w:r>
      <w:r>
        <w:rPr>
          <w:sz w:val="20"/>
        </w:rPr>
        <w:t xml:space="preserve"> </w:t>
      </w:r>
      <w:r w:rsidR="00AC5C50">
        <w:rPr>
          <w:sz w:val="20"/>
        </w:rPr>
        <w:t xml:space="preserve">              </w:t>
      </w:r>
      <w:r>
        <w:rPr>
          <w:sz w:val="20"/>
        </w:rPr>
        <w:t xml:space="preserve"> </w:t>
      </w:r>
      <w:r w:rsidR="008C3CC5" w:rsidRPr="00594DB2">
        <w:rPr>
          <w:rFonts w:ascii="Athelas" w:hAnsi="Athelas"/>
          <w:szCs w:val="20"/>
        </w:rPr>
        <w:sym w:font="Wingdings" w:char="F0FC"/>
      </w:r>
      <w:r w:rsidR="00CF6721">
        <w:rPr>
          <w:sz w:val="20"/>
        </w:rPr>
        <w:tab/>
      </w:r>
      <w:r w:rsidR="00CF6721">
        <w:rPr>
          <w:sz w:val="20"/>
        </w:rPr>
        <w:tab/>
      </w:r>
      <w:r w:rsidR="00CF6721">
        <w:rPr>
          <w:sz w:val="20"/>
        </w:rPr>
        <w:tab/>
      </w:r>
      <w:r w:rsidR="00CF6721">
        <w:rPr>
          <w:sz w:val="20"/>
        </w:rPr>
        <w:tab/>
        <w:t xml:space="preserve">     </w:t>
      </w:r>
    </w:p>
    <w:p w14:paraId="296018B7" w14:textId="293CBEF3" w:rsidR="008325DF" w:rsidRDefault="008325DF" w:rsidP="008325DF">
      <w:pPr>
        <w:spacing w:after="1" w:line="259" w:lineRule="auto"/>
        <w:ind w:left="720" w:firstLine="0"/>
        <w:rPr>
          <w:sz w:val="20"/>
          <w:szCs w:val="20"/>
        </w:rPr>
      </w:pPr>
      <w:r w:rsidRPr="49506AFE">
        <w:rPr>
          <w:sz w:val="18"/>
          <w:szCs w:val="18"/>
        </w:rPr>
        <w:t xml:space="preserve">             </w:t>
      </w:r>
      <w:r w:rsidR="00AC5C50">
        <w:rPr>
          <w:sz w:val="18"/>
          <w:szCs w:val="18"/>
        </w:rPr>
        <w:t xml:space="preserve">                            </w:t>
      </w:r>
      <w:r w:rsidRPr="49506AFE">
        <w:rPr>
          <w:sz w:val="18"/>
          <w:szCs w:val="18"/>
        </w:rPr>
        <w:t>Current Point</w:t>
      </w:r>
      <w:r w:rsidRPr="49506AFE">
        <w:rPr>
          <w:sz w:val="20"/>
          <w:szCs w:val="20"/>
        </w:rPr>
        <w:t xml:space="preserve"> </w:t>
      </w:r>
    </w:p>
    <w:p w14:paraId="64396374" w14:textId="4862492A" w:rsidR="00B75F6C" w:rsidRPr="006A1355" w:rsidRDefault="008325DF" w:rsidP="00C86FB4">
      <w:pPr>
        <w:spacing w:after="1" w:line="259" w:lineRule="auto"/>
        <w:jc w:val="right"/>
        <w:rPr>
          <w:i/>
          <w:iCs/>
          <w:sz w:val="20"/>
          <w:szCs w:val="20"/>
        </w:rPr>
      </w:pPr>
      <w:r w:rsidRPr="006A1355">
        <w:rPr>
          <w:i/>
          <w:iCs/>
          <w:sz w:val="20"/>
          <w:szCs w:val="20"/>
        </w:rPr>
        <w:tab/>
        <w:t>*As of</w:t>
      </w:r>
      <w:r w:rsidR="003F1E4C">
        <w:rPr>
          <w:i/>
          <w:iCs/>
          <w:sz w:val="20"/>
          <w:szCs w:val="20"/>
        </w:rPr>
        <w:t xml:space="preserve"> July 1</w:t>
      </w:r>
      <w:r w:rsidR="00C86FB4" w:rsidRPr="006A1355">
        <w:rPr>
          <w:i/>
          <w:iCs/>
          <w:sz w:val="20"/>
          <w:szCs w:val="20"/>
        </w:rPr>
        <w:t>, 2024</w:t>
      </w:r>
    </w:p>
    <w:p w14:paraId="7A0E4DEA" w14:textId="77777777" w:rsidR="00402921" w:rsidRPr="006A1355" w:rsidRDefault="00402921" w:rsidP="00C86FB4">
      <w:pPr>
        <w:spacing w:after="1" w:line="259" w:lineRule="auto"/>
        <w:jc w:val="right"/>
        <w:rPr>
          <w:i/>
          <w:iCs/>
          <w:szCs w:val="22"/>
        </w:rPr>
      </w:pPr>
    </w:p>
    <w:p w14:paraId="6AE92F09" w14:textId="0AA7E52F" w:rsidR="008325DF" w:rsidRPr="006A1355" w:rsidRDefault="00B75F6C" w:rsidP="00B75F6C">
      <w:pPr>
        <w:rPr>
          <w:i/>
          <w:iCs/>
          <w:szCs w:val="22"/>
        </w:rPr>
      </w:pPr>
      <w:proofErr w:type="gramStart"/>
      <w:r w:rsidRPr="006A1355">
        <w:rPr>
          <w:i/>
          <w:iCs/>
          <w:szCs w:val="22"/>
        </w:rPr>
        <w:t>Provisions</w:t>
      </w:r>
      <w:proofErr w:type="gramEnd"/>
      <w:r w:rsidRPr="006A1355">
        <w:rPr>
          <w:i/>
          <w:iCs/>
          <w:szCs w:val="22"/>
        </w:rPr>
        <w:t xml:space="preserve"> cited below are requests only and do not equal final authorizations or funding.</w:t>
      </w:r>
    </w:p>
    <w:p w14:paraId="31055EEB" w14:textId="77777777" w:rsidR="0022786F" w:rsidRPr="006A1355" w:rsidRDefault="0022786F" w:rsidP="00B75F6C">
      <w:pPr>
        <w:rPr>
          <w:i/>
          <w:iCs/>
          <w:szCs w:val="22"/>
        </w:rPr>
      </w:pPr>
    </w:p>
    <w:p w14:paraId="63E18E5D" w14:textId="3E73D496" w:rsidR="007B2945" w:rsidRPr="006E4426" w:rsidRDefault="0022786F" w:rsidP="006E4426">
      <w:r w:rsidRPr="006A1355">
        <w:rPr>
          <w:b/>
          <w:bCs/>
          <w:color w:val="1A3866"/>
          <w:szCs w:val="22"/>
        </w:rPr>
        <w:t xml:space="preserve">Summary </w:t>
      </w:r>
      <w:r w:rsidR="00922D0D" w:rsidRPr="006A1355">
        <w:rPr>
          <w:b/>
          <w:bCs/>
          <w:color w:val="1A3866"/>
          <w:szCs w:val="22"/>
        </w:rPr>
        <w:t xml:space="preserve">Funding: </w:t>
      </w:r>
      <w:r w:rsidR="006E4426">
        <w:t xml:space="preserve">The House of Representatives </w:t>
      </w:r>
      <w:r w:rsidR="00B92007">
        <w:t>authorizes</w:t>
      </w:r>
      <w:r w:rsidR="006E4426">
        <w:t xml:space="preserve"> $</w:t>
      </w:r>
      <w:r w:rsidR="007776FA">
        <w:t>849.8B for the Department of Defense</w:t>
      </w:r>
      <w:r w:rsidR="00F6044F">
        <w:t xml:space="preserve"> for Fiscal Year (FY) 2025. </w:t>
      </w:r>
    </w:p>
    <w:p w14:paraId="2F909510" w14:textId="77777777" w:rsidR="006E64F6" w:rsidRPr="006A1355" w:rsidRDefault="006E64F6" w:rsidP="007B2945">
      <w:pPr>
        <w:spacing w:after="0" w:line="240" w:lineRule="auto"/>
        <w:jc w:val="both"/>
        <w:rPr>
          <w:bCs/>
          <w:i/>
          <w:iCs/>
          <w:color w:val="auto"/>
          <w:spacing w:val="-3"/>
          <w:szCs w:val="22"/>
          <w:shd w:val="clear" w:color="auto" w:fill="FFFFFF"/>
        </w:rPr>
      </w:pPr>
    </w:p>
    <w:p w14:paraId="70F221FB" w14:textId="3054B24F" w:rsidR="006E64F6" w:rsidRPr="006A1355" w:rsidRDefault="006E64F6" w:rsidP="007B2945">
      <w:pPr>
        <w:spacing w:after="0" w:line="240" w:lineRule="auto"/>
        <w:jc w:val="both"/>
        <w:rPr>
          <w:b/>
          <w:color w:val="5E6E3F"/>
          <w:spacing w:val="-3"/>
          <w:szCs w:val="22"/>
          <w:shd w:val="clear" w:color="auto" w:fill="FFFFFF"/>
        </w:rPr>
      </w:pPr>
      <w:r w:rsidRPr="006A1355">
        <w:rPr>
          <w:b/>
          <w:color w:val="5E6E3F"/>
          <w:spacing w:val="-3"/>
          <w:szCs w:val="22"/>
          <w:shd w:val="clear" w:color="auto" w:fill="FFFFFF"/>
        </w:rPr>
        <w:t xml:space="preserve">Army National Guard </w:t>
      </w:r>
    </w:p>
    <w:p w14:paraId="4F2A9776" w14:textId="77777777" w:rsidR="001C0A00" w:rsidRPr="006A1355" w:rsidRDefault="001C0A00" w:rsidP="007B2945">
      <w:pPr>
        <w:spacing w:after="0" w:line="240" w:lineRule="auto"/>
        <w:jc w:val="both"/>
        <w:rPr>
          <w:b/>
          <w:color w:val="5E6E3F"/>
          <w:spacing w:val="-3"/>
          <w:szCs w:val="22"/>
          <w:shd w:val="clear" w:color="auto" w:fill="FFFFFF"/>
        </w:rPr>
      </w:pPr>
    </w:p>
    <w:p w14:paraId="3BCE23FD" w14:textId="1FB6A37F" w:rsidR="008F3F87" w:rsidRPr="006A1355" w:rsidRDefault="008F3F87" w:rsidP="008F3F87">
      <w:pPr>
        <w:pStyle w:val="ListParagraph"/>
        <w:numPr>
          <w:ilvl w:val="0"/>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 xml:space="preserve">Authorizes funding for ARNG end strength at </w:t>
      </w:r>
      <w:r w:rsidR="00E57437" w:rsidRPr="006A1355">
        <w:rPr>
          <w:rFonts w:ascii="Arial" w:hAnsi="Arial" w:cs="Arial"/>
          <w:bCs/>
          <w:spacing w:val="-3"/>
          <w:sz w:val="22"/>
          <w:szCs w:val="22"/>
          <w:shd w:val="clear" w:color="auto" w:fill="FFFFFF"/>
        </w:rPr>
        <w:t>325,000 Soldiers.</w:t>
      </w:r>
    </w:p>
    <w:p w14:paraId="4EDAF17E" w14:textId="05B653A7" w:rsidR="00E57437" w:rsidRPr="006A1355" w:rsidRDefault="00E57437" w:rsidP="00E57437">
      <w:pPr>
        <w:pStyle w:val="ListParagraph"/>
        <w:numPr>
          <w:ilvl w:val="1"/>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Consistent with PB Request and FY24 enacted levels</w:t>
      </w:r>
    </w:p>
    <w:p w14:paraId="1621967F" w14:textId="77777777" w:rsidR="001144C9" w:rsidRPr="006A1355" w:rsidRDefault="001144C9" w:rsidP="001144C9">
      <w:pPr>
        <w:pStyle w:val="ListParagraph"/>
        <w:spacing w:after="0" w:line="240" w:lineRule="auto"/>
        <w:ind w:left="1430"/>
        <w:jc w:val="both"/>
        <w:rPr>
          <w:rFonts w:ascii="Arial" w:hAnsi="Arial" w:cs="Arial"/>
          <w:bCs/>
          <w:spacing w:val="-3"/>
          <w:sz w:val="22"/>
          <w:szCs w:val="22"/>
          <w:shd w:val="clear" w:color="auto" w:fill="FFFFFF"/>
        </w:rPr>
      </w:pPr>
    </w:p>
    <w:p w14:paraId="24225907" w14:textId="75B6EFFD" w:rsidR="00EA31FE" w:rsidRPr="006A1355" w:rsidRDefault="003907F8" w:rsidP="00EA31FE">
      <w:pPr>
        <w:pStyle w:val="ListParagraph"/>
        <w:numPr>
          <w:ilvl w:val="0"/>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$8.</w:t>
      </w:r>
      <w:r w:rsidR="001144C9" w:rsidRPr="006A1355">
        <w:rPr>
          <w:rFonts w:ascii="Arial" w:hAnsi="Arial" w:cs="Arial"/>
          <w:bCs/>
          <w:spacing w:val="-3"/>
          <w:sz w:val="22"/>
          <w:szCs w:val="22"/>
          <w:shd w:val="clear" w:color="auto" w:fill="FFFFFF"/>
        </w:rPr>
        <w:t>7</w:t>
      </w:r>
      <w:r w:rsidR="00EE7D5C" w:rsidRPr="006A1355">
        <w:rPr>
          <w:rFonts w:ascii="Arial" w:hAnsi="Arial" w:cs="Arial"/>
          <w:bCs/>
          <w:spacing w:val="-3"/>
          <w:sz w:val="22"/>
          <w:szCs w:val="22"/>
          <w:shd w:val="clear" w:color="auto" w:fill="FFFFFF"/>
        </w:rPr>
        <w:t>B for ARNG Operation and Maintenance</w:t>
      </w:r>
    </w:p>
    <w:p w14:paraId="1A687D4A" w14:textId="5FBA35FF" w:rsidR="00EE7D5C" w:rsidRPr="006A1355" w:rsidRDefault="001144C9" w:rsidP="00EE7D5C">
      <w:pPr>
        <w:pStyle w:val="ListParagraph"/>
        <w:numPr>
          <w:ilvl w:val="1"/>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Consistent with the PB Request</w:t>
      </w:r>
    </w:p>
    <w:p w14:paraId="7F30D31E" w14:textId="77777777" w:rsidR="00C628EE" w:rsidRPr="006A1355" w:rsidRDefault="00C628EE" w:rsidP="00C628EE">
      <w:pPr>
        <w:pStyle w:val="ListParagraph"/>
        <w:spacing w:after="0" w:line="240" w:lineRule="auto"/>
        <w:ind w:left="1430"/>
        <w:jc w:val="both"/>
        <w:rPr>
          <w:rFonts w:ascii="Arial" w:hAnsi="Arial" w:cs="Arial"/>
          <w:bCs/>
          <w:spacing w:val="-3"/>
          <w:sz w:val="22"/>
          <w:szCs w:val="22"/>
          <w:shd w:val="clear" w:color="auto" w:fill="FFFFFF"/>
        </w:rPr>
      </w:pPr>
    </w:p>
    <w:p w14:paraId="2C6779E2" w14:textId="60E0E66C" w:rsidR="006843C1" w:rsidRPr="006A1355" w:rsidRDefault="006843C1" w:rsidP="006843C1">
      <w:pPr>
        <w:pStyle w:val="ListParagraph"/>
        <w:numPr>
          <w:ilvl w:val="0"/>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 xml:space="preserve">Authorizes 22,294 military technicians </w:t>
      </w:r>
      <w:r w:rsidR="00B31186" w:rsidRPr="006A1355">
        <w:rPr>
          <w:rFonts w:ascii="Arial" w:hAnsi="Arial" w:cs="Arial"/>
          <w:bCs/>
          <w:spacing w:val="-3"/>
          <w:sz w:val="22"/>
          <w:szCs w:val="22"/>
          <w:shd w:val="clear" w:color="auto" w:fill="FFFFFF"/>
        </w:rPr>
        <w:t>(dual status) for the ARNG</w:t>
      </w:r>
    </w:p>
    <w:p w14:paraId="302AABD7" w14:textId="77777777" w:rsidR="00D41B76" w:rsidRPr="006A1355" w:rsidRDefault="00D41B76" w:rsidP="00596481">
      <w:pPr>
        <w:pStyle w:val="ListParagraph"/>
        <w:spacing w:after="0" w:line="240" w:lineRule="auto"/>
        <w:ind w:left="710"/>
        <w:jc w:val="both"/>
        <w:rPr>
          <w:rFonts w:ascii="Arial" w:hAnsi="Arial" w:cs="Arial"/>
          <w:bCs/>
          <w:spacing w:val="-3"/>
          <w:sz w:val="22"/>
          <w:szCs w:val="22"/>
          <w:shd w:val="clear" w:color="auto" w:fill="FFFFFF"/>
        </w:rPr>
      </w:pPr>
    </w:p>
    <w:p w14:paraId="3DF8E225" w14:textId="306C0687" w:rsidR="00C628EE" w:rsidRPr="006A1355" w:rsidRDefault="003607AF" w:rsidP="006843C1">
      <w:pPr>
        <w:pStyle w:val="ListParagraph"/>
        <w:numPr>
          <w:ilvl w:val="0"/>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 xml:space="preserve">$570M for 31 </w:t>
      </w:r>
      <w:r w:rsidR="00D41B76" w:rsidRPr="006A1355">
        <w:rPr>
          <w:rFonts w:ascii="Arial" w:hAnsi="Arial" w:cs="Arial"/>
          <w:bCs/>
          <w:spacing w:val="-3"/>
          <w:sz w:val="22"/>
          <w:szCs w:val="22"/>
          <w:shd w:val="clear" w:color="auto" w:fill="FFFFFF"/>
        </w:rPr>
        <w:t>AH</w:t>
      </w:r>
      <w:r w:rsidRPr="006A1355">
        <w:rPr>
          <w:rFonts w:ascii="Arial" w:hAnsi="Arial" w:cs="Arial"/>
          <w:bCs/>
          <w:spacing w:val="-3"/>
          <w:sz w:val="22"/>
          <w:szCs w:val="22"/>
          <w:shd w:val="clear" w:color="auto" w:fill="FFFFFF"/>
        </w:rPr>
        <w:t>-64 Apache Block IIIA helicopters</w:t>
      </w:r>
    </w:p>
    <w:p w14:paraId="1CC03CEB" w14:textId="73875213" w:rsidR="00D41B76" w:rsidRPr="006A1355" w:rsidRDefault="00D41B76" w:rsidP="00D41B76">
      <w:pPr>
        <w:pStyle w:val="ListParagraph"/>
        <w:numPr>
          <w:ilvl w:val="1"/>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Consistent with PB Request</w:t>
      </w:r>
    </w:p>
    <w:p w14:paraId="000322BA" w14:textId="77777777" w:rsidR="002B69C1" w:rsidRPr="006A1355" w:rsidRDefault="002B69C1" w:rsidP="002B69C1">
      <w:pPr>
        <w:pStyle w:val="ListParagraph"/>
        <w:spacing w:after="0" w:line="240" w:lineRule="auto"/>
        <w:ind w:left="1430"/>
        <w:jc w:val="both"/>
        <w:rPr>
          <w:rFonts w:ascii="Arial" w:hAnsi="Arial" w:cs="Arial"/>
          <w:bCs/>
          <w:spacing w:val="-3"/>
          <w:sz w:val="22"/>
          <w:szCs w:val="22"/>
          <w:shd w:val="clear" w:color="auto" w:fill="FFFFFF"/>
        </w:rPr>
      </w:pPr>
    </w:p>
    <w:p w14:paraId="059C0236" w14:textId="43FD3578" w:rsidR="00596481" w:rsidRPr="006A1355" w:rsidRDefault="002B69C1" w:rsidP="00596481">
      <w:pPr>
        <w:pStyle w:val="ListParagraph"/>
        <w:numPr>
          <w:ilvl w:val="0"/>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$81M for AH-64 Mods</w:t>
      </w:r>
    </w:p>
    <w:p w14:paraId="64886162" w14:textId="7796497E" w:rsidR="002B69C1" w:rsidRPr="006A1355" w:rsidRDefault="002B69C1" w:rsidP="002B69C1">
      <w:pPr>
        <w:pStyle w:val="ListParagraph"/>
        <w:numPr>
          <w:ilvl w:val="1"/>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Consistent with the PB Request</w:t>
      </w:r>
    </w:p>
    <w:p w14:paraId="118ABA52" w14:textId="77777777" w:rsidR="00D41B76" w:rsidRPr="006A1355" w:rsidRDefault="00D41B76" w:rsidP="00D41B76">
      <w:pPr>
        <w:spacing w:after="0" w:line="240" w:lineRule="auto"/>
        <w:ind w:left="1070" w:firstLine="0"/>
        <w:jc w:val="both"/>
        <w:rPr>
          <w:bCs/>
          <w:spacing w:val="-3"/>
          <w:szCs w:val="22"/>
          <w:shd w:val="clear" w:color="auto" w:fill="FFFFFF"/>
        </w:rPr>
      </w:pPr>
    </w:p>
    <w:p w14:paraId="47B493F1" w14:textId="1BBE4A0E" w:rsidR="003607AF" w:rsidRPr="006A1355" w:rsidRDefault="005616CA" w:rsidP="006843C1">
      <w:pPr>
        <w:pStyle w:val="ListParagraph"/>
        <w:numPr>
          <w:ilvl w:val="0"/>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$767.2M for 24 UH-60M Black Hawk helicopters</w:t>
      </w:r>
    </w:p>
    <w:p w14:paraId="645BC789" w14:textId="31058ECC" w:rsidR="00B959A1" w:rsidRPr="006A1355" w:rsidRDefault="00B959A1" w:rsidP="00B959A1">
      <w:pPr>
        <w:pStyle w:val="ListParagraph"/>
        <w:numPr>
          <w:ilvl w:val="1"/>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Consistent with PB Request</w:t>
      </w:r>
    </w:p>
    <w:p w14:paraId="412AC234" w14:textId="77777777" w:rsidR="00B65C69" w:rsidRPr="006A1355" w:rsidRDefault="00B65C69" w:rsidP="00B65C69">
      <w:pPr>
        <w:pStyle w:val="ListParagraph"/>
        <w:spacing w:after="0" w:line="240" w:lineRule="auto"/>
        <w:ind w:left="1430"/>
        <w:jc w:val="both"/>
        <w:rPr>
          <w:rFonts w:ascii="Arial" w:hAnsi="Arial" w:cs="Arial"/>
          <w:bCs/>
          <w:spacing w:val="-3"/>
          <w:sz w:val="22"/>
          <w:szCs w:val="22"/>
          <w:shd w:val="clear" w:color="auto" w:fill="FFFFFF"/>
        </w:rPr>
      </w:pPr>
    </w:p>
    <w:p w14:paraId="1436B3BD" w14:textId="4A4DE067" w:rsidR="00B65C69" w:rsidRPr="006A1355" w:rsidRDefault="00B65C69" w:rsidP="00B65C69">
      <w:pPr>
        <w:pStyle w:val="ListParagraph"/>
        <w:numPr>
          <w:ilvl w:val="0"/>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lastRenderedPageBreak/>
        <w:t xml:space="preserve">$34.6M for </w:t>
      </w:r>
      <w:r w:rsidR="00D27360" w:rsidRPr="006A1355">
        <w:rPr>
          <w:rFonts w:ascii="Arial" w:hAnsi="Arial" w:cs="Arial"/>
          <w:bCs/>
          <w:spacing w:val="-3"/>
          <w:sz w:val="22"/>
          <w:szCs w:val="22"/>
          <w:shd w:val="clear" w:color="auto" w:fill="FFFFFF"/>
        </w:rPr>
        <w:t>U</w:t>
      </w:r>
      <w:r w:rsidRPr="006A1355">
        <w:rPr>
          <w:rFonts w:ascii="Arial" w:hAnsi="Arial" w:cs="Arial"/>
          <w:bCs/>
          <w:spacing w:val="-3"/>
          <w:sz w:val="22"/>
          <w:szCs w:val="22"/>
          <w:shd w:val="clear" w:color="auto" w:fill="FFFFFF"/>
        </w:rPr>
        <w:t xml:space="preserve">tility </w:t>
      </w:r>
      <w:r w:rsidR="00826673" w:rsidRPr="006A1355">
        <w:rPr>
          <w:rFonts w:ascii="Arial" w:hAnsi="Arial" w:cs="Arial"/>
          <w:bCs/>
          <w:spacing w:val="-3"/>
          <w:sz w:val="22"/>
          <w:szCs w:val="22"/>
          <w:shd w:val="clear" w:color="auto" w:fill="FFFFFF"/>
        </w:rPr>
        <w:t>H</w:t>
      </w:r>
      <w:r w:rsidRPr="006A1355">
        <w:rPr>
          <w:rFonts w:ascii="Arial" w:hAnsi="Arial" w:cs="Arial"/>
          <w:bCs/>
          <w:spacing w:val="-3"/>
          <w:sz w:val="22"/>
          <w:szCs w:val="22"/>
          <w:shd w:val="clear" w:color="auto" w:fill="FFFFFF"/>
        </w:rPr>
        <w:t xml:space="preserve">elicopter </w:t>
      </w:r>
      <w:r w:rsidR="00826673" w:rsidRPr="006A1355">
        <w:rPr>
          <w:rFonts w:ascii="Arial" w:hAnsi="Arial" w:cs="Arial"/>
          <w:bCs/>
          <w:spacing w:val="-3"/>
          <w:sz w:val="22"/>
          <w:szCs w:val="22"/>
          <w:shd w:val="clear" w:color="auto" w:fill="FFFFFF"/>
        </w:rPr>
        <w:t>M</w:t>
      </w:r>
      <w:r w:rsidRPr="006A1355">
        <w:rPr>
          <w:rFonts w:ascii="Arial" w:hAnsi="Arial" w:cs="Arial"/>
          <w:bCs/>
          <w:spacing w:val="-3"/>
          <w:sz w:val="22"/>
          <w:szCs w:val="22"/>
          <w:shd w:val="clear" w:color="auto" w:fill="FFFFFF"/>
        </w:rPr>
        <w:t>ods</w:t>
      </w:r>
    </w:p>
    <w:p w14:paraId="1D0C018D" w14:textId="33C37CC4" w:rsidR="002A2983" w:rsidRPr="006A1355" w:rsidRDefault="00B65C69" w:rsidP="002A2983">
      <w:pPr>
        <w:pStyle w:val="ListParagraph"/>
        <w:numPr>
          <w:ilvl w:val="1"/>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 xml:space="preserve">Consistent with the PB Request </w:t>
      </w:r>
    </w:p>
    <w:p w14:paraId="2103C5C4" w14:textId="77777777" w:rsidR="00FC1E95" w:rsidRPr="006A1355" w:rsidRDefault="00FC1E95" w:rsidP="00FC1E95">
      <w:pPr>
        <w:pStyle w:val="ListParagraph"/>
        <w:spacing w:after="0" w:line="240" w:lineRule="auto"/>
        <w:ind w:left="1430"/>
        <w:jc w:val="both"/>
        <w:rPr>
          <w:rFonts w:ascii="Arial" w:hAnsi="Arial" w:cs="Arial"/>
          <w:bCs/>
          <w:spacing w:val="-3"/>
          <w:sz w:val="22"/>
          <w:szCs w:val="22"/>
          <w:shd w:val="clear" w:color="auto" w:fill="FFFFFF"/>
        </w:rPr>
      </w:pPr>
    </w:p>
    <w:p w14:paraId="3936E4EB" w14:textId="4A0669E1" w:rsidR="002A2983" w:rsidRPr="006A1355" w:rsidRDefault="002A2983" w:rsidP="002A2983">
      <w:pPr>
        <w:pStyle w:val="ListParagraph"/>
        <w:numPr>
          <w:ilvl w:val="0"/>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 xml:space="preserve">$804.7M for </w:t>
      </w:r>
      <w:r w:rsidR="00A36F4A" w:rsidRPr="006A1355">
        <w:rPr>
          <w:rFonts w:ascii="Arial" w:hAnsi="Arial" w:cs="Arial"/>
          <w:bCs/>
          <w:spacing w:val="-3"/>
          <w:sz w:val="22"/>
          <w:szCs w:val="22"/>
          <w:shd w:val="clear" w:color="auto" w:fill="FFFFFF"/>
        </w:rPr>
        <w:t xml:space="preserve">12 </w:t>
      </w:r>
      <w:r w:rsidRPr="006A1355">
        <w:rPr>
          <w:rFonts w:ascii="Arial" w:hAnsi="Arial" w:cs="Arial"/>
          <w:bCs/>
          <w:spacing w:val="-3"/>
          <w:sz w:val="22"/>
          <w:szCs w:val="22"/>
          <w:shd w:val="clear" w:color="auto" w:fill="FFFFFF"/>
        </w:rPr>
        <w:t>CH-47 Helicopters</w:t>
      </w:r>
    </w:p>
    <w:p w14:paraId="01395A28" w14:textId="016788E5" w:rsidR="002A2983" w:rsidRPr="006A1355" w:rsidRDefault="002A2983" w:rsidP="002A2983">
      <w:pPr>
        <w:pStyle w:val="ListParagraph"/>
        <w:numPr>
          <w:ilvl w:val="1"/>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 xml:space="preserve">$105M </w:t>
      </w:r>
      <w:r w:rsidR="00504262">
        <w:rPr>
          <w:rFonts w:ascii="Arial" w:hAnsi="Arial" w:cs="Arial"/>
          <w:bCs/>
          <w:spacing w:val="-3"/>
          <w:sz w:val="22"/>
          <w:szCs w:val="22"/>
          <w:shd w:val="clear" w:color="auto" w:fill="FFFFFF"/>
        </w:rPr>
        <w:t>increase f</w:t>
      </w:r>
      <w:r w:rsidRPr="006A1355">
        <w:rPr>
          <w:rFonts w:ascii="Arial" w:hAnsi="Arial" w:cs="Arial"/>
          <w:bCs/>
          <w:spacing w:val="-3"/>
          <w:sz w:val="22"/>
          <w:szCs w:val="22"/>
          <w:shd w:val="clear" w:color="auto" w:fill="FFFFFF"/>
        </w:rPr>
        <w:t>rom the PB Request</w:t>
      </w:r>
    </w:p>
    <w:p w14:paraId="4B7B8074" w14:textId="77777777" w:rsidR="002A2983" w:rsidRPr="006A1355" w:rsidRDefault="002A2983" w:rsidP="002A2983">
      <w:pPr>
        <w:pStyle w:val="ListParagraph"/>
        <w:spacing w:after="0" w:line="240" w:lineRule="auto"/>
        <w:ind w:left="1430"/>
        <w:jc w:val="both"/>
        <w:rPr>
          <w:rFonts w:ascii="Arial" w:hAnsi="Arial" w:cs="Arial"/>
          <w:bCs/>
          <w:spacing w:val="-3"/>
          <w:sz w:val="22"/>
          <w:szCs w:val="22"/>
          <w:shd w:val="clear" w:color="auto" w:fill="FFFFFF"/>
        </w:rPr>
      </w:pPr>
    </w:p>
    <w:p w14:paraId="62598E1D" w14:textId="615C150D" w:rsidR="006A753C" w:rsidRPr="006A1355" w:rsidRDefault="00677070" w:rsidP="006A753C">
      <w:pPr>
        <w:pStyle w:val="ListParagraph"/>
        <w:numPr>
          <w:ilvl w:val="0"/>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 xml:space="preserve">$15M for CH-47 Cargo Helicopter mods </w:t>
      </w:r>
    </w:p>
    <w:p w14:paraId="5D5C7675" w14:textId="07BC6ACA" w:rsidR="006A753C" w:rsidRPr="006A1355" w:rsidRDefault="00B65C69" w:rsidP="006A753C">
      <w:pPr>
        <w:pStyle w:val="ListParagraph"/>
        <w:numPr>
          <w:ilvl w:val="1"/>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 xml:space="preserve">Consistent with the PB Request </w:t>
      </w:r>
    </w:p>
    <w:p w14:paraId="489EBD82" w14:textId="77777777" w:rsidR="006A753C" w:rsidRPr="006A1355" w:rsidRDefault="006A753C" w:rsidP="006A753C">
      <w:pPr>
        <w:pStyle w:val="ListParagraph"/>
        <w:spacing w:after="0" w:line="240" w:lineRule="auto"/>
        <w:ind w:left="1430"/>
        <w:jc w:val="both"/>
        <w:rPr>
          <w:rFonts w:ascii="Arial" w:hAnsi="Arial" w:cs="Arial"/>
          <w:bCs/>
          <w:spacing w:val="-3"/>
          <w:sz w:val="22"/>
          <w:szCs w:val="22"/>
          <w:shd w:val="clear" w:color="auto" w:fill="FFFFFF"/>
        </w:rPr>
      </w:pPr>
    </w:p>
    <w:p w14:paraId="6DC9746A" w14:textId="2E46634E" w:rsidR="00C15A44" w:rsidRPr="006A1355" w:rsidRDefault="00C15A44" w:rsidP="000275FE">
      <w:pPr>
        <w:pStyle w:val="ListParagraph"/>
        <w:numPr>
          <w:ilvl w:val="0"/>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w:t>
      </w:r>
      <w:r w:rsidR="006A753C" w:rsidRPr="006A1355">
        <w:rPr>
          <w:rFonts w:ascii="Arial" w:hAnsi="Arial" w:cs="Arial"/>
          <w:bCs/>
          <w:spacing w:val="-3"/>
          <w:sz w:val="22"/>
          <w:szCs w:val="22"/>
          <w:shd w:val="clear" w:color="auto" w:fill="FFFFFF"/>
        </w:rPr>
        <w:t>23.9M for Gray Eagle Mods</w:t>
      </w:r>
    </w:p>
    <w:p w14:paraId="631BCDDF" w14:textId="234E95C8" w:rsidR="006A753C" w:rsidRPr="006A1355" w:rsidRDefault="006A753C" w:rsidP="006A753C">
      <w:pPr>
        <w:pStyle w:val="ListParagraph"/>
        <w:numPr>
          <w:ilvl w:val="1"/>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Consistent with the PB Request</w:t>
      </w:r>
    </w:p>
    <w:p w14:paraId="59582626" w14:textId="77777777" w:rsidR="00295F1A" w:rsidRPr="006A1355" w:rsidRDefault="00295F1A" w:rsidP="00295F1A">
      <w:pPr>
        <w:pStyle w:val="ListParagraph"/>
        <w:spacing w:after="0" w:line="240" w:lineRule="auto"/>
        <w:ind w:left="1430"/>
        <w:jc w:val="both"/>
        <w:rPr>
          <w:rFonts w:ascii="Arial" w:hAnsi="Arial" w:cs="Arial"/>
          <w:bCs/>
          <w:spacing w:val="-3"/>
          <w:sz w:val="22"/>
          <w:szCs w:val="22"/>
          <w:shd w:val="clear" w:color="auto" w:fill="FFFFFF"/>
        </w:rPr>
      </w:pPr>
    </w:p>
    <w:p w14:paraId="40D8644A" w14:textId="35F29BE5" w:rsidR="00324DF0" w:rsidRPr="006A1355" w:rsidRDefault="00295F1A" w:rsidP="00324DF0">
      <w:pPr>
        <w:pStyle w:val="ListParagraph"/>
        <w:numPr>
          <w:ilvl w:val="0"/>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$563M for Armored Multi</w:t>
      </w:r>
      <w:r w:rsidR="00E50537" w:rsidRPr="006A1355">
        <w:rPr>
          <w:rFonts w:ascii="Arial" w:hAnsi="Arial" w:cs="Arial"/>
          <w:bCs/>
          <w:spacing w:val="-3"/>
          <w:sz w:val="22"/>
          <w:szCs w:val="22"/>
          <w:shd w:val="clear" w:color="auto" w:fill="FFFFFF"/>
        </w:rPr>
        <w:t>-P</w:t>
      </w:r>
      <w:r w:rsidRPr="006A1355">
        <w:rPr>
          <w:rFonts w:ascii="Arial" w:hAnsi="Arial" w:cs="Arial"/>
          <w:bCs/>
          <w:spacing w:val="-3"/>
          <w:sz w:val="22"/>
          <w:szCs w:val="22"/>
          <w:shd w:val="clear" w:color="auto" w:fill="FFFFFF"/>
        </w:rPr>
        <w:t>urpose Vehicle (AMPV)</w:t>
      </w:r>
    </w:p>
    <w:p w14:paraId="594093F7" w14:textId="74F1432A" w:rsidR="00295F1A" w:rsidRPr="006A1355" w:rsidRDefault="00295F1A" w:rsidP="00295F1A">
      <w:pPr>
        <w:pStyle w:val="ListParagraph"/>
        <w:numPr>
          <w:ilvl w:val="1"/>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$48M increase from the PB Request</w:t>
      </w:r>
    </w:p>
    <w:p w14:paraId="326A4DE6" w14:textId="77777777" w:rsidR="007450C3" w:rsidRPr="006A1355" w:rsidRDefault="007450C3" w:rsidP="007450C3">
      <w:pPr>
        <w:pStyle w:val="ListParagraph"/>
        <w:spacing w:after="0" w:line="240" w:lineRule="auto"/>
        <w:ind w:left="1430"/>
        <w:jc w:val="both"/>
        <w:rPr>
          <w:rFonts w:ascii="Arial" w:hAnsi="Arial" w:cs="Arial"/>
          <w:bCs/>
          <w:spacing w:val="-3"/>
          <w:sz w:val="22"/>
          <w:szCs w:val="22"/>
          <w:shd w:val="clear" w:color="auto" w:fill="FFFFFF"/>
        </w:rPr>
      </w:pPr>
    </w:p>
    <w:p w14:paraId="1A7EF442" w14:textId="4C788A3C" w:rsidR="00826673" w:rsidRPr="006A1355" w:rsidRDefault="00826673" w:rsidP="00826673">
      <w:pPr>
        <w:pStyle w:val="ListParagraph"/>
        <w:numPr>
          <w:ilvl w:val="0"/>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$223M for</w:t>
      </w:r>
      <w:r w:rsidR="00996995">
        <w:rPr>
          <w:rFonts w:ascii="Arial" w:hAnsi="Arial" w:cs="Arial"/>
          <w:bCs/>
          <w:spacing w:val="-3"/>
          <w:sz w:val="22"/>
          <w:szCs w:val="22"/>
          <w:shd w:val="clear" w:color="auto" w:fill="FFFFFF"/>
        </w:rPr>
        <w:t xml:space="preserve"> </w:t>
      </w:r>
      <w:r w:rsidRPr="006A1355">
        <w:rPr>
          <w:rFonts w:ascii="Arial" w:hAnsi="Arial" w:cs="Arial"/>
          <w:bCs/>
          <w:spacing w:val="-3"/>
          <w:sz w:val="22"/>
          <w:szCs w:val="22"/>
          <w:shd w:val="clear" w:color="auto" w:fill="FFFFFF"/>
        </w:rPr>
        <w:t>Joint Light Tactical Vehicles</w:t>
      </w:r>
    </w:p>
    <w:p w14:paraId="28A06B6C" w14:textId="002C2D2F" w:rsidR="001573B4" w:rsidRPr="006A1355" w:rsidRDefault="007450C3" w:rsidP="001573B4">
      <w:pPr>
        <w:pStyle w:val="ListParagraph"/>
        <w:numPr>
          <w:ilvl w:val="1"/>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$117M decrease from the PB Request</w:t>
      </w:r>
    </w:p>
    <w:p w14:paraId="3921418F" w14:textId="77777777" w:rsidR="00295F1A" w:rsidRPr="006A1355" w:rsidRDefault="00295F1A" w:rsidP="00295F1A">
      <w:pPr>
        <w:pStyle w:val="ListParagraph"/>
        <w:spacing w:after="0" w:line="240" w:lineRule="auto"/>
        <w:ind w:left="1430"/>
        <w:jc w:val="both"/>
        <w:rPr>
          <w:rFonts w:ascii="Arial" w:hAnsi="Arial" w:cs="Arial"/>
          <w:bCs/>
          <w:spacing w:val="-3"/>
          <w:sz w:val="22"/>
          <w:szCs w:val="22"/>
          <w:shd w:val="clear" w:color="auto" w:fill="FFFFFF"/>
        </w:rPr>
      </w:pPr>
    </w:p>
    <w:p w14:paraId="381FA0FF" w14:textId="7394DA38" w:rsidR="00F871F6" w:rsidRPr="006A1355" w:rsidRDefault="00F871F6" w:rsidP="00F871F6">
      <w:pPr>
        <w:pStyle w:val="ListParagraph"/>
        <w:numPr>
          <w:ilvl w:val="0"/>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$314.5M for Stryker Mods</w:t>
      </w:r>
    </w:p>
    <w:p w14:paraId="417C50EB" w14:textId="7B4E022F" w:rsidR="00FC1E95" w:rsidRPr="006A1355" w:rsidRDefault="00FC1E95" w:rsidP="00FC1E95">
      <w:pPr>
        <w:pStyle w:val="ListParagraph"/>
        <w:numPr>
          <w:ilvl w:val="1"/>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$262M increase from the PB Request</w:t>
      </w:r>
    </w:p>
    <w:p w14:paraId="24C2540D" w14:textId="77777777" w:rsidR="00FC1E95" w:rsidRPr="006A1355" w:rsidRDefault="00FC1E95" w:rsidP="00FC1E95">
      <w:pPr>
        <w:pStyle w:val="ListParagraph"/>
        <w:spacing w:after="0" w:line="240" w:lineRule="auto"/>
        <w:ind w:left="1430"/>
        <w:jc w:val="both"/>
        <w:rPr>
          <w:rFonts w:ascii="Arial" w:hAnsi="Arial" w:cs="Arial"/>
          <w:bCs/>
          <w:spacing w:val="-3"/>
          <w:sz w:val="22"/>
          <w:szCs w:val="22"/>
          <w:shd w:val="clear" w:color="auto" w:fill="FFFFFF"/>
        </w:rPr>
      </w:pPr>
    </w:p>
    <w:p w14:paraId="67A1E0D9" w14:textId="72D55D65" w:rsidR="00F871F6" w:rsidRPr="006A1355" w:rsidRDefault="00F871F6" w:rsidP="00F871F6">
      <w:pPr>
        <w:pStyle w:val="ListParagraph"/>
        <w:numPr>
          <w:ilvl w:val="0"/>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$402M for Stryker Upgrades</w:t>
      </w:r>
    </w:p>
    <w:p w14:paraId="51CEFA20" w14:textId="44044F0C" w:rsidR="00FC1E95" w:rsidRPr="006A1355" w:rsidRDefault="00FC1E95" w:rsidP="00FC1E95">
      <w:pPr>
        <w:pStyle w:val="ListParagraph"/>
        <w:numPr>
          <w:ilvl w:val="1"/>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 xml:space="preserve">Consistent with the PB Request </w:t>
      </w:r>
    </w:p>
    <w:p w14:paraId="627E8854" w14:textId="77777777" w:rsidR="002A2983" w:rsidRPr="006A1355" w:rsidRDefault="002A2983" w:rsidP="002A2983">
      <w:pPr>
        <w:pStyle w:val="ListParagraph"/>
        <w:spacing w:after="0" w:line="240" w:lineRule="auto"/>
        <w:ind w:left="1430"/>
        <w:jc w:val="both"/>
        <w:rPr>
          <w:rFonts w:ascii="Arial" w:hAnsi="Arial" w:cs="Arial"/>
          <w:bCs/>
          <w:spacing w:val="-3"/>
          <w:sz w:val="22"/>
          <w:szCs w:val="22"/>
          <w:shd w:val="clear" w:color="auto" w:fill="FFFFFF"/>
        </w:rPr>
      </w:pPr>
    </w:p>
    <w:p w14:paraId="57150DC2" w14:textId="40CA5BCB" w:rsidR="002122F9" w:rsidRPr="006A1355" w:rsidRDefault="00A32B14" w:rsidP="002122F9">
      <w:pPr>
        <w:pStyle w:val="ListParagraph"/>
        <w:numPr>
          <w:ilvl w:val="0"/>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w:t>
      </w:r>
      <w:r w:rsidR="00992B8E" w:rsidRPr="006A1355">
        <w:rPr>
          <w:rFonts w:ascii="Arial" w:hAnsi="Arial" w:cs="Arial"/>
          <w:bCs/>
          <w:spacing w:val="-3"/>
          <w:sz w:val="22"/>
          <w:szCs w:val="22"/>
          <w:shd w:val="clear" w:color="auto" w:fill="FFFFFF"/>
        </w:rPr>
        <w:t>848.7M for Abrams Upgrade Program</w:t>
      </w:r>
    </w:p>
    <w:p w14:paraId="0BFC54C4" w14:textId="57CFC1C5" w:rsidR="00992B8E" w:rsidRPr="006A1355" w:rsidRDefault="002A2983" w:rsidP="00992B8E">
      <w:pPr>
        <w:pStyle w:val="ListParagraph"/>
        <w:numPr>
          <w:ilvl w:val="1"/>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 xml:space="preserve">$75M increase from the PB Request </w:t>
      </w:r>
    </w:p>
    <w:p w14:paraId="415BBB39" w14:textId="77777777" w:rsidR="008203B3" w:rsidRPr="006A1355" w:rsidRDefault="008203B3" w:rsidP="008203B3">
      <w:pPr>
        <w:pStyle w:val="ListParagraph"/>
        <w:spacing w:after="0" w:line="240" w:lineRule="auto"/>
        <w:ind w:left="1430"/>
        <w:jc w:val="both"/>
        <w:rPr>
          <w:rFonts w:ascii="Arial" w:hAnsi="Arial" w:cs="Arial"/>
          <w:bCs/>
          <w:spacing w:val="-3"/>
          <w:sz w:val="22"/>
          <w:szCs w:val="22"/>
          <w:shd w:val="clear" w:color="auto" w:fill="FFFFFF"/>
        </w:rPr>
      </w:pPr>
    </w:p>
    <w:p w14:paraId="107223AC" w14:textId="79C8D0EB" w:rsidR="00A36F4A" w:rsidRPr="006A1355" w:rsidRDefault="002E21BD" w:rsidP="00A36F4A">
      <w:pPr>
        <w:pStyle w:val="ListParagraph"/>
        <w:numPr>
          <w:ilvl w:val="0"/>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 xml:space="preserve">$419.7M for </w:t>
      </w:r>
      <w:r w:rsidR="00A36F4A" w:rsidRPr="006A1355">
        <w:rPr>
          <w:rFonts w:ascii="Arial" w:hAnsi="Arial" w:cs="Arial"/>
          <w:bCs/>
          <w:spacing w:val="-3"/>
          <w:sz w:val="22"/>
          <w:szCs w:val="22"/>
          <w:shd w:val="clear" w:color="auto" w:fill="FFFFFF"/>
        </w:rPr>
        <w:t>25 Paladin Integrated Management (PIM) Systems</w:t>
      </w:r>
    </w:p>
    <w:p w14:paraId="341D6360" w14:textId="3BECFCEB" w:rsidR="00A36F4A" w:rsidRPr="006A1355" w:rsidRDefault="008203B3" w:rsidP="006C17A6">
      <w:pPr>
        <w:pStyle w:val="ListParagraph"/>
        <w:numPr>
          <w:ilvl w:val="1"/>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$2M increase from the PB Request</w:t>
      </w:r>
    </w:p>
    <w:p w14:paraId="74C2F939" w14:textId="77777777" w:rsidR="008203B3" w:rsidRPr="006A1355" w:rsidRDefault="008203B3" w:rsidP="008203B3">
      <w:pPr>
        <w:pStyle w:val="ListParagraph"/>
        <w:spacing w:after="0" w:line="240" w:lineRule="auto"/>
        <w:ind w:left="1430"/>
        <w:jc w:val="both"/>
        <w:rPr>
          <w:rFonts w:ascii="Arial" w:hAnsi="Arial" w:cs="Arial"/>
          <w:bCs/>
          <w:spacing w:val="-3"/>
          <w:sz w:val="22"/>
          <w:szCs w:val="22"/>
          <w:shd w:val="clear" w:color="auto" w:fill="FFFFFF"/>
        </w:rPr>
      </w:pPr>
    </w:p>
    <w:p w14:paraId="3D97A61B" w14:textId="33C6F5E3" w:rsidR="004E2361" w:rsidRPr="006A1355" w:rsidRDefault="004E2361" w:rsidP="004E2361">
      <w:pPr>
        <w:pStyle w:val="ListParagraph"/>
        <w:numPr>
          <w:ilvl w:val="0"/>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 xml:space="preserve">$402.8M for Bradley Fire support Team (BSFIT) Vehicle </w:t>
      </w:r>
    </w:p>
    <w:p w14:paraId="438C97A1" w14:textId="648AF50F" w:rsidR="004E2361" w:rsidRPr="006A1355" w:rsidRDefault="006E7E40" w:rsidP="004E2361">
      <w:pPr>
        <w:pStyle w:val="ListParagraph"/>
        <w:numPr>
          <w:ilvl w:val="1"/>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Consistent</w:t>
      </w:r>
      <w:r w:rsidR="004E2361" w:rsidRPr="006A1355">
        <w:rPr>
          <w:rFonts w:ascii="Arial" w:hAnsi="Arial" w:cs="Arial"/>
          <w:bCs/>
          <w:spacing w:val="-3"/>
          <w:sz w:val="22"/>
          <w:szCs w:val="22"/>
          <w:shd w:val="clear" w:color="auto" w:fill="FFFFFF"/>
        </w:rPr>
        <w:t xml:space="preserve"> with the PB Request</w:t>
      </w:r>
    </w:p>
    <w:p w14:paraId="04D745EC" w14:textId="77777777" w:rsidR="006E7E40" w:rsidRPr="006A1355" w:rsidRDefault="006E7E40" w:rsidP="006E7E40">
      <w:pPr>
        <w:pStyle w:val="ListParagraph"/>
        <w:spacing w:after="0" w:line="240" w:lineRule="auto"/>
        <w:ind w:left="1430"/>
        <w:jc w:val="both"/>
        <w:rPr>
          <w:rFonts w:ascii="Arial" w:hAnsi="Arial" w:cs="Arial"/>
          <w:bCs/>
          <w:spacing w:val="-3"/>
          <w:sz w:val="22"/>
          <w:szCs w:val="22"/>
          <w:shd w:val="clear" w:color="auto" w:fill="FFFFFF"/>
        </w:rPr>
      </w:pPr>
    </w:p>
    <w:p w14:paraId="26C5BCEF" w14:textId="457CC492" w:rsidR="004E2361" w:rsidRPr="006A1355" w:rsidRDefault="004E2361" w:rsidP="004E2361">
      <w:pPr>
        <w:pStyle w:val="ListParagraph"/>
        <w:numPr>
          <w:ilvl w:val="0"/>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w:t>
      </w:r>
      <w:r w:rsidR="00851692" w:rsidRPr="006A1355">
        <w:rPr>
          <w:rFonts w:ascii="Arial" w:hAnsi="Arial" w:cs="Arial"/>
          <w:bCs/>
          <w:spacing w:val="-3"/>
          <w:sz w:val="22"/>
          <w:szCs w:val="22"/>
          <w:shd w:val="clear" w:color="auto" w:fill="FFFFFF"/>
        </w:rPr>
        <w:t>106.9M for Bradley Mods</w:t>
      </w:r>
    </w:p>
    <w:p w14:paraId="0673BB04" w14:textId="3BA5AC2B" w:rsidR="00851692" w:rsidRPr="006A1355" w:rsidRDefault="00851692" w:rsidP="00851692">
      <w:pPr>
        <w:pStyle w:val="ListParagraph"/>
        <w:numPr>
          <w:ilvl w:val="1"/>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 xml:space="preserve">Consistent with the PB Request </w:t>
      </w:r>
    </w:p>
    <w:p w14:paraId="24524D94" w14:textId="77777777" w:rsidR="004231BE" w:rsidRPr="006A1355" w:rsidRDefault="004231BE" w:rsidP="004231BE">
      <w:pPr>
        <w:pStyle w:val="ListParagraph"/>
        <w:spacing w:after="0" w:line="240" w:lineRule="auto"/>
        <w:ind w:left="1430"/>
        <w:jc w:val="both"/>
        <w:rPr>
          <w:rFonts w:ascii="Arial" w:hAnsi="Arial" w:cs="Arial"/>
          <w:bCs/>
          <w:spacing w:val="-3"/>
          <w:sz w:val="22"/>
          <w:szCs w:val="22"/>
          <w:shd w:val="clear" w:color="auto" w:fill="FFFFFF"/>
        </w:rPr>
      </w:pPr>
    </w:p>
    <w:p w14:paraId="53336C5A" w14:textId="06A02C2B" w:rsidR="004231BE" w:rsidRPr="006A1355" w:rsidRDefault="004231BE" w:rsidP="004231BE">
      <w:pPr>
        <w:pStyle w:val="ListParagraph"/>
        <w:numPr>
          <w:ilvl w:val="0"/>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$5.3M for High Mobility Multipurpose Wheeled Vehicles (HMMWV)</w:t>
      </w:r>
    </w:p>
    <w:p w14:paraId="1A5BDF56" w14:textId="7FF9654B" w:rsidR="00C628EE" w:rsidRPr="006A1355" w:rsidRDefault="004231BE" w:rsidP="00826673">
      <w:pPr>
        <w:pStyle w:val="ListParagraph"/>
        <w:numPr>
          <w:ilvl w:val="1"/>
          <w:numId w:val="8"/>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Consistent wit</w:t>
      </w:r>
      <w:r w:rsidR="001573B4" w:rsidRPr="006A1355">
        <w:rPr>
          <w:rFonts w:ascii="Arial" w:hAnsi="Arial" w:cs="Arial"/>
          <w:bCs/>
          <w:spacing w:val="-3"/>
          <w:sz w:val="22"/>
          <w:szCs w:val="22"/>
          <w:shd w:val="clear" w:color="auto" w:fill="FFFFFF"/>
        </w:rPr>
        <w:t xml:space="preserve">h </w:t>
      </w:r>
      <w:r w:rsidRPr="006A1355">
        <w:rPr>
          <w:rFonts w:ascii="Arial" w:hAnsi="Arial" w:cs="Arial"/>
          <w:bCs/>
          <w:spacing w:val="-3"/>
          <w:sz w:val="22"/>
          <w:szCs w:val="22"/>
          <w:shd w:val="clear" w:color="auto" w:fill="FFFFFF"/>
        </w:rPr>
        <w:t xml:space="preserve">the PB Request </w:t>
      </w:r>
    </w:p>
    <w:p w14:paraId="7917FCC7" w14:textId="77777777" w:rsidR="00B31186" w:rsidRPr="006A1355" w:rsidRDefault="00B31186" w:rsidP="00B31186">
      <w:pPr>
        <w:pStyle w:val="ListParagraph"/>
        <w:spacing w:after="0" w:line="240" w:lineRule="auto"/>
        <w:ind w:left="710"/>
        <w:jc w:val="both"/>
        <w:rPr>
          <w:rFonts w:ascii="Arial" w:hAnsi="Arial" w:cs="Arial"/>
          <w:bCs/>
          <w:spacing w:val="-3"/>
          <w:sz w:val="22"/>
          <w:szCs w:val="22"/>
          <w:shd w:val="clear" w:color="auto" w:fill="FFFFFF"/>
        </w:rPr>
      </w:pPr>
    </w:p>
    <w:p w14:paraId="3D3580E9" w14:textId="1FAC8968" w:rsidR="00E57437" w:rsidRPr="006A1355" w:rsidRDefault="00E57437" w:rsidP="00E57437">
      <w:pPr>
        <w:spacing w:after="0" w:line="240" w:lineRule="auto"/>
        <w:jc w:val="both"/>
        <w:rPr>
          <w:b/>
          <w:color w:val="1A3866"/>
          <w:spacing w:val="-3"/>
          <w:szCs w:val="22"/>
          <w:shd w:val="clear" w:color="auto" w:fill="FFFFFF"/>
        </w:rPr>
      </w:pPr>
      <w:r w:rsidRPr="006A1355">
        <w:rPr>
          <w:b/>
          <w:color w:val="1A3866"/>
          <w:spacing w:val="-3"/>
          <w:szCs w:val="22"/>
          <w:shd w:val="clear" w:color="auto" w:fill="FFFFFF"/>
        </w:rPr>
        <w:t>Air National Guard</w:t>
      </w:r>
    </w:p>
    <w:p w14:paraId="5EE22049" w14:textId="77777777" w:rsidR="001C0A00" w:rsidRPr="006A1355" w:rsidRDefault="001C0A00" w:rsidP="00E57437">
      <w:pPr>
        <w:spacing w:after="0" w:line="240" w:lineRule="auto"/>
        <w:jc w:val="both"/>
        <w:rPr>
          <w:b/>
          <w:color w:val="1A3866"/>
          <w:spacing w:val="-3"/>
          <w:szCs w:val="22"/>
          <w:shd w:val="clear" w:color="auto" w:fill="FFFFFF"/>
        </w:rPr>
      </w:pPr>
    </w:p>
    <w:p w14:paraId="21F75BCD" w14:textId="75565F2E" w:rsidR="00E57437" w:rsidRPr="006A1355" w:rsidRDefault="002E1208" w:rsidP="002E1208">
      <w:pPr>
        <w:pStyle w:val="ListParagraph"/>
        <w:numPr>
          <w:ilvl w:val="0"/>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Authorizes</w:t>
      </w:r>
      <w:r w:rsidR="00E57437" w:rsidRPr="006A1355">
        <w:rPr>
          <w:rFonts w:ascii="Arial" w:hAnsi="Arial" w:cs="Arial"/>
          <w:bCs/>
          <w:spacing w:val="-3"/>
          <w:sz w:val="22"/>
          <w:szCs w:val="22"/>
          <w:shd w:val="clear" w:color="auto" w:fill="FFFFFF"/>
        </w:rPr>
        <w:t xml:space="preserve"> funding for ANG end strength at </w:t>
      </w:r>
      <w:r w:rsidRPr="006A1355">
        <w:rPr>
          <w:rFonts w:ascii="Arial" w:hAnsi="Arial" w:cs="Arial"/>
          <w:bCs/>
          <w:spacing w:val="-3"/>
          <w:sz w:val="22"/>
          <w:szCs w:val="22"/>
          <w:shd w:val="clear" w:color="auto" w:fill="FFFFFF"/>
        </w:rPr>
        <w:t>107,700 Airmen.</w:t>
      </w:r>
    </w:p>
    <w:p w14:paraId="69B11639" w14:textId="710EC2E4" w:rsidR="002E1208" w:rsidRPr="006A1355" w:rsidRDefault="002E1208" w:rsidP="002E1208">
      <w:pPr>
        <w:pStyle w:val="ListParagraph"/>
        <w:numPr>
          <w:ilvl w:val="1"/>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An increase of 2,700 Airmen from the PB Request and FY24 enacted levels.</w:t>
      </w:r>
    </w:p>
    <w:p w14:paraId="3344245D" w14:textId="77777777" w:rsidR="001A1055" w:rsidRPr="006A1355" w:rsidRDefault="001A1055" w:rsidP="001A1055">
      <w:pPr>
        <w:pStyle w:val="ListParagraph"/>
        <w:spacing w:after="0" w:line="240" w:lineRule="auto"/>
        <w:ind w:left="1440"/>
        <w:jc w:val="both"/>
        <w:rPr>
          <w:rFonts w:ascii="Arial" w:hAnsi="Arial" w:cs="Arial"/>
          <w:bCs/>
          <w:spacing w:val="-3"/>
          <w:sz w:val="22"/>
          <w:szCs w:val="22"/>
          <w:shd w:val="clear" w:color="auto" w:fill="FFFFFF"/>
        </w:rPr>
      </w:pPr>
    </w:p>
    <w:p w14:paraId="1C1F02DC" w14:textId="035778B3" w:rsidR="006752C7" w:rsidRPr="006A1355" w:rsidRDefault="006752C7" w:rsidP="006752C7">
      <w:pPr>
        <w:pStyle w:val="ListParagraph"/>
        <w:numPr>
          <w:ilvl w:val="0"/>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w:t>
      </w:r>
      <w:r w:rsidR="001A1055" w:rsidRPr="006A1355">
        <w:rPr>
          <w:rFonts w:ascii="Arial" w:hAnsi="Arial" w:cs="Arial"/>
          <w:bCs/>
          <w:spacing w:val="-3"/>
          <w:sz w:val="22"/>
          <w:szCs w:val="22"/>
          <w:shd w:val="clear" w:color="auto" w:fill="FFFFFF"/>
        </w:rPr>
        <w:t>7.4B for ANG Operation and Maintenance</w:t>
      </w:r>
    </w:p>
    <w:p w14:paraId="10299D9C" w14:textId="5F9813AB" w:rsidR="001A1055" w:rsidRPr="006A1355" w:rsidRDefault="001A1055" w:rsidP="001A1055">
      <w:pPr>
        <w:pStyle w:val="ListParagraph"/>
        <w:numPr>
          <w:ilvl w:val="1"/>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Consistent with the PB Request</w:t>
      </w:r>
    </w:p>
    <w:p w14:paraId="762A6C3E" w14:textId="77777777" w:rsidR="00BD1026" w:rsidRPr="006A1355" w:rsidRDefault="00BD1026" w:rsidP="00BD1026">
      <w:pPr>
        <w:pStyle w:val="ListParagraph"/>
        <w:spacing w:after="0" w:line="240" w:lineRule="auto"/>
        <w:ind w:left="1440"/>
        <w:jc w:val="both"/>
        <w:rPr>
          <w:rFonts w:ascii="Arial" w:hAnsi="Arial" w:cs="Arial"/>
          <w:bCs/>
          <w:spacing w:val="-3"/>
          <w:sz w:val="22"/>
          <w:szCs w:val="22"/>
          <w:shd w:val="clear" w:color="auto" w:fill="FFFFFF"/>
        </w:rPr>
      </w:pPr>
    </w:p>
    <w:p w14:paraId="3E146500" w14:textId="5425AA52" w:rsidR="009413F2" w:rsidRPr="006A1355" w:rsidRDefault="00674853" w:rsidP="009413F2">
      <w:pPr>
        <w:pStyle w:val="ListParagraph"/>
        <w:numPr>
          <w:ilvl w:val="0"/>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 xml:space="preserve">Authorizes </w:t>
      </w:r>
      <w:r w:rsidR="006843C1" w:rsidRPr="006A1355">
        <w:rPr>
          <w:rFonts w:ascii="Arial" w:hAnsi="Arial" w:cs="Arial"/>
          <w:bCs/>
          <w:spacing w:val="-3"/>
          <w:sz w:val="22"/>
          <w:szCs w:val="22"/>
          <w:shd w:val="clear" w:color="auto" w:fill="FFFFFF"/>
        </w:rPr>
        <w:t>10,744 military technicians (dual status) for the AN</w:t>
      </w:r>
      <w:r w:rsidR="009413F2" w:rsidRPr="006A1355">
        <w:rPr>
          <w:rFonts w:ascii="Arial" w:hAnsi="Arial" w:cs="Arial"/>
          <w:bCs/>
          <w:spacing w:val="-3"/>
          <w:sz w:val="22"/>
          <w:szCs w:val="22"/>
          <w:shd w:val="clear" w:color="auto" w:fill="FFFFFF"/>
        </w:rPr>
        <w:t>G</w:t>
      </w:r>
    </w:p>
    <w:p w14:paraId="781A0C1C" w14:textId="77777777" w:rsidR="00BD1026" w:rsidRPr="006A1355" w:rsidRDefault="00BD1026" w:rsidP="00BD1026">
      <w:pPr>
        <w:pStyle w:val="ListParagraph"/>
        <w:spacing w:after="0" w:line="240" w:lineRule="auto"/>
        <w:jc w:val="both"/>
        <w:rPr>
          <w:rFonts w:ascii="Arial" w:hAnsi="Arial" w:cs="Arial"/>
          <w:bCs/>
          <w:spacing w:val="-3"/>
          <w:sz w:val="22"/>
          <w:szCs w:val="22"/>
          <w:shd w:val="clear" w:color="auto" w:fill="FFFFFF"/>
        </w:rPr>
      </w:pPr>
    </w:p>
    <w:p w14:paraId="314B7EFC" w14:textId="365FCEE5" w:rsidR="00313F11" w:rsidRPr="006A1355" w:rsidRDefault="009413F2" w:rsidP="00313F11">
      <w:pPr>
        <w:pStyle w:val="ListParagraph"/>
        <w:numPr>
          <w:ilvl w:val="0"/>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w:t>
      </w:r>
      <w:r w:rsidR="00272E4D" w:rsidRPr="006A1355">
        <w:rPr>
          <w:rFonts w:ascii="Arial" w:hAnsi="Arial" w:cs="Arial"/>
          <w:bCs/>
          <w:spacing w:val="-3"/>
          <w:sz w:val="22"/>
          <w:szCs w:val="22"/>
          <w:shd w:val="clear" w:color="auto" w:fill="FFFFFF"/>
        </w:rPr>
        <w:t xml:space="preserve">4B </w:t>
      </w:r>
      <w:r w:rsidR="00D15C48" w:rsidRPr="006A1355">
        <w:rPr>
          <w:rFonts w:ascii="Arial" w:hAnsi="Arial" w:cs="Arial"/>
          <w:bCs/>
          <w:spacing w:val="-3"/>
          <w:sz w:val="22"/>
          <w:szCs w:val="22"/>
          <w:shd w:val="clear" w:color="auto" w:fill="FFFFFF"/>
        </w:rPr>
        <w:t>for F-</w:t>
      </w:r>
      <w:r w:rsidR="0054328A" w:rsidRPr="006A1355">
        <w:rPr>
          <w:rFonts w:ascii="Arial" w:hAnsi="Arial" w:cs="Arial"/>
          <w:bCs/>
          <w:spacing w:val="-3"/>
          <w:sz w:val="22"/>
          <w:szCs w:val="22"/>
          <w:shd w:val="clear" w:color="auto" w:fill="FFFFFF"/>
        </w:rPr>
        <w:t>35</w:t>
      </w:r>
      <w:r w:rsidR="00BD1026" w:rsidRPr="006A1355">
        <w:rPr>
          <w:rFonts w:ascii="Arial" w:hAnsi="Arial" w:cs="Arial"/>
          <w:bCs/>
          <w:spacing w:val="-3"/>
          <w:sz w:val="22"/>
          <w:szCs w:val="22"/>
          <w:shd w:val="clear" w:color="auto" w:fill="FFFFFF"/>
        </w:rPr>
        <w:t xml:space="preserve">A Lightning II </w:t>
      </w:r>
      <w:r w:rsidR="00313F11" w:rsidRPr="006A1355">
        <w:rPr>
          <w:rFonts w:ascii="Arial" w:hAnsi="Arial" w:cs="Arial"/>
          <w:bCs/>
          <w:spacing w:val="-3"/>
          <w:sz w:val="22"/>
          <w:szCs w:val="22"/>
          <w:shd w:val="clear" w:color="auto" w:fill="FFFFFF"/>
        </w:rPr>
        <w:t xml:space="preserve">aircraft </w:t>
      </w:r>
      <w:r w:rsidR="00BD1026" w:rsidRPr="006A1355">
        <w:rPr>
          <w:rFonts w:ascii="Arial" w:hAnsi="Arial" w:cs="Arial"/>
          <w:bCs/>
          <w:spacing w:val="-3"/>
          <w:sz w:val="22"/>
          <w:szCs w:val="22"/>
          <w:shd w:val="clear" w:color="auto" w:fill="FFFFFF"/>
        </w:rPr>
        <w:t>for the Air Force</w:t>
      </w:r>
    </w:p>
    <w:p w14:paraId="4AAE0715" w14:textId="55604E84" w:rsidR="000F2363" w:rsidRPr="006A1355" w:rsidRDefault="0037021E" w:rsidP="000F2363">
      <w:pPr>
        <w:pStyle w:val="ListParagraph"/>
        <w:numPr>
          <w:ilvl w:val="1"/>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lastRenderedPageBreak/>
        <w:t xml:space="preserve">$138M decrease from the PB Request </w:t>
      </w:r>
    </w:p>
    <w:p w14:paraId="54DFB969" w14:textId="77777777" w:rsidR="003C43EF" w:rsidRPr="006A1355" w:rsidRDefault="003C43EF" w:rsidP="003C43EF">
      <w:pPr>
        <w:pStyle w:val="ListParagraph"/>
        <w:spacing w:after="0" w:line="240" w:lineRule="auto"/>
        <w:ind w:left="1440"/>
        <w:jc w:val="both"/>
        <w:rPr>
          <w:rFonts w:ascii="Arial" w:hAnsi="Arial" w:cs="Arial"/>
          <w:bCs/>
          <w:spacing w:val="-3"/>
          <w:sz w:val="22"/>
          <w:szCs w:val="22"/>
          <w:shd w:val="clear" w:color="auto" w:fill="FFFFFF"/>
        </w:rPr>
      </w:pPr>
    </w:p>
    <w:p w14:paraId="795B6962" w14:textId="5B30FCA5" w:rsidR="007A1CC6" w:rsidRPr="006A1355" w:rsidRDefault="007A1CC6" w:rsidP="007A1CC6">
      <w:pPr>
        <w:pStyle w:val="ListParagraph"/>
        <w:numPr>
          <w:ilvl w:val="0"/>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$1.87</w:t>
      </w:r>
      <w:r w:rsidR="003C43EF" w:rsidRPr="006A1355">
        <w:rPr>
          <w:rFonts w:ascii="Arial" w:hAnsi="Arial" w:cs="Arial"/>
          <w:bCs/>
          <w:spacing w:val="-3"/>
          <w:sz w:val="22"/>
          <w:szCs w:val="22"/>
          <w:shd w:val="clear" w:color="auto" w:fill="FFFFFF"/>
        </w:rPr>
        <w:t>B for F35 Continuous Capability Development and Delivery (C2D2)</w:t>
      </w:r>
    </w:p>
    <w:p w14:paraId="219668E1" w14:textId="3E2FC9EA" w:rsidR="00E85306" w:rsidRPr="006A1355" w:rsidRDefault="00DB1DE0" w:rsidP="00E85306">
      <w:pPr>
        <w:pStyle w:val="ListParagraph"/>
        <w:numPr>
          <w:ilvl w:val="1"/>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$750M increase from the PB Request</w:t>
      </w:r>
    </w:p>
    <w:p w14:paraId="0B7F6533" w14:textId="77777777" w:rsidR="003C43EF" w:rsidRPr="006A1355" w:rsidRDefault="003C43EF" w:rsidP="00BD1026">
      <w:pPr>
        <w:pStyle w:val="ListParagraph"/>
        <w:spacing w:after="0" w:line="240" w:lineRule="auto"/>
        <w:ind w:left="1440"/>
        <w:jc w:val="both"/>
        <w:rPr>
          <w:rFonts w:ascii="Arial" w:hAnsi="Arial" w:cs="Arial"/>
          <w:bCs/>
          <w:spacing w:val="-3"/>
          <w:sz w:val="22"/>
          <w:szCs w:val="22"/>
          <w:shd w:val="clear" w:color="auto" w:fill="FFFFFF"/>
        </w:rPr>
      </w:pPr>
    </w:p>
    <w:p w14:paraId="43BE7A05" w14:textId="7A9BDC8B" w:rsidR="00F138B6" w:rsidRPr="006A1355" w:rsidRDefault="00F138B6" w:rsidP="00F138B6">
      <w:pPr>
        <w:pStyle w:val="ListParagraph"/>
        <w:numPr>
          <w:ilvl w:val="0"/>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$1.81B for F-15EX aircraft</w:t>
      </w:r>
    </w:p>
    <w:p w14:paraId="60B99636" w14:textId="6AFDB6D1" w:rsidR="009C146B" w:rsidRPr="006A1355" w:rsidRDefault="009C146B" w:rsidP="009C146B">
      <w:pPr>
        <w:pStyle w:val="ListParagraph"/>
        <w:numPr>
          <w:ilvl w:val="1"/>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Consistent with the PB Request</w:t>
      </w:r>
    </w:p>
    <w:p w14:paraId="69A21D1D" w14:textId="5D92CF50" w:rsidR="00BA68E8" w:rsidRPr="006A1355" w:rsidRDefault="009C146B" w:rsidP="00BA68E8">
      <w:pPr>
        <w:pStyle w:val="ListParagraph"/>
        <w:numPr>
          <w:ilvl w:val="1"/>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An additional $271M is authorized for F-15EX</w:t>
      </w:r>
      <w:r w:rsidR="007676D5">
        <w:rPr>
          <w:rFonts w:ascii="Arial" w:hAnsi="Arial" w:cs="Arial"/>
          <w:bCs/>
          <w:spacing w:val="-3"/>
          <w:sz w:val="22"/>
          <w:szCs w:val="22"/>
          <w:shd w:val="clear" w:color="auto" w:fill="FFFFFF"/>
        </w:rPr>
        <w:t xml:space="preserve"> (AP)</w:t>
      </w:r>
    </w:p>
    <w:p w14:paraId="14979D6F" w14:textId="77777777" w:rsidR="007D5E44" w:rsidRPr="006A1355" w:rsidRDefault="007D5E44" w:rsidP="007D5E44">
      <w:pPr>
        <w:pStyle w:val="ListParagraph"/>
        <w:spacing w:after="0" w:line="240" w:lineRule="auto"/>
        <w:ind w:left="1440"/>
        <w:jc w:val="both"/>
        <w:rPr>
          <w:rFonts w:ascii="Arial" w:hAnsi="Arial" w:cs="Arial"/>
          <w:bCs/>
          <w:spacing w:val="-3"/>
          <w:sz w:val="22"/>
          <w:szCs w:val="22"/>
          <w:shd w:val="clear" w:color="auto" w:fill="FFFFFF"/>
        </w:rPr>
      </w:pPr>
    </w:p>
    <w:p w14:paraId="3A2C42CA" w14:textId="3D5AA885" w:rsidR="00BD1026" w:rsidRPr="006A1355" w:rsidRDefault="004C4911" w:rsidP="00BD1026">
      <w:pPr>
        <w:pStyle w:val="ListParagraph"/>
        <w:numPr>
          <w:ilvl w:val="0"/>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 xml:space="preserve">$2.6B for KC-46A </w:t>
      </w:r>
      <w:r w:rsidR="00F4126F" w:rsidRPr="006A1355">
        <w:rPr>
          <w:rFonts w:ascii="Arial" w:hAnsi="Arial" w:cs="Arial"/>
          <w:bCs/>
          <w:spacing w:val="-3"/>
          <w:sz w:val="22"/>
          <w:szCs w:val="22"/>
          <w:shd w:val="clear" w:color="auto" w:fill="FFFFFF"/>
        </w:rPr>
        <w:t>Major Defense Acquisition Program (MDAP)</w:t>
      </w:r>
    </w:p>
    <w:p w14:paraId="494F1D60" w14:textId="0DC3C688" w:rsidR="00B40AB9" w:rsidRPr="006A1355" w:rsidRDefault="00B40AB9" w:rsidP="00B40AB9">
      <w:pPr>
        <w:pStyle w:val="ListParagraph"/>
        <w:numPr>
          <w:ilvl w:val="1"/>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Decrease of $250M from the PB Request</w:t>
      </w:r>
    </w:p>
    <w:p w14:paraId="465FDA83" w14:textId="77777777" w:rsidR="00F4126F" w:rsidRPr="006A1355" w:rsidRDefault="00F4126F" w:rsidP="00F4126F">
      <w:pPr>
        <w:pStyle w:val="ListParagraph"/>
        <w:spacing w:after="0" w:line="240" w:lineRule="auto"/>
        <w:ind w:left="1440"/>
        <w:jc w:val="both"/>
        <w:rPr>
          <w:rFonts w:ascii="Arial" w:hAnsi="Arial" w:cs="Arial"/>
          <w:bCs/>
          <w:spacing w:val="-3"/>
          <w:sz w:val="22"/>
          <w:szCs w:val="22"/>
          <w:shd w:val="clear" w:color="auto" w:fill="FFFFFF"/>
        </w:rPr>
      </w:pPr>
    </w:p>
    <w:p w14:paraId="1672E4DC" w14:textId="516A548B" w:rsidR="00CC059E" w:rsidRPr="006A1355" w:rsidRDefault="00B40AB9" w:rsidP="00CC059E">
      <w:pPr>
        <w:pStyle w:val="ListParagraph"/>
        <w:numPr>
          <w:ilvl w:val="0"/>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 xml:space="preserve">$285M for C-130J </w:t>
      </w:r>
      <w:r w:rsidR="00CC059E" w:rsidRPr="006A1355">
        <w:rPr>
          <w:rFonts w:ascii="Arial" w:hAnsi="Arial" w:cs="Arial"/>
          <w:bCs/>
          <w:spacing w:val="-3"/>
          <w:sz w:val="22"/>
          <w:szCs w:val="22"/>
          <w:shd w:val="clear" w:color="auto" w:fill="FFFFFF"/>
        </w:rPr>
        <w:t>aircraft</w:t>
      </w:r>
    </w:p>
    <w:p w14:paraId="72E6D490" w14:textId="5F318E53" w:rsidR="00B40AB9" w:rsidRPr="006A1355" w:rsidRDefault="00CC059E" w:rsidP="00CC059E">
      <w:pPr>
        <w:pStyle w:val="ListParagraph"/>
        <w:numPr>
          <w:ilvl w:val="1"/>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$283</w:t>
      </w:r>
      <w:r w:rsidR="007F71EA">
        <w:rPr>
          <w:rFonts w:ascii="Arial" w:hAnsi="Arial" w:cs="Arial"/>
          <w:bCs/>
          <w:spacing w:val="-3"/>
          <w:sz w:val="22"/>
          <w:szCs w:val="22"/>
          <w:shd w:val="clear" w:color="auto" w:fill="FFFFFF"/>
        </w:rPr>
        <w:t>M</w:t>
      </w:r>
      <w:r w:rsidRPr="006A1355">
        <w:rPr>
          <w:rFonts w:ascii="Arial" w:hAnsi="Arial" w:cs="Arial"/>
          <w:bCs/>
          <w:spacing w:val="-3"/>
          <w:sz w:val="22"/>
          <w:szCs w:val="22"/>
          <w:shd w:val="clear" w:color="auto" w:fill="FFFFFF"/>
        </w:rPr>
        <w:t xml:space="preserve"> increase from the PB Request </w:t>
      </w:r>
    </w:p>
    <w:p w14:paraId="2F356EA1" w14:textId="77777777" w:rsidR="00011C90" w:rsidRPr="006A1355" w:rsidRDefault="00011C90" w:rsidP="00011C90">
      <w:pPr>
        <w:pStyle w:val="ListParagraph"/>
        <w:spacing w:after="0" w:line="240" w:lineRule="auto"/>
        <w:ind w:left="1440"/>
        <w:jc w:val="both"/>
        <w:rPr>
          <w:rFonts w:ascii="Arial" w:hAnsi="Arial" w:cs="Arial"/>
          <w:bCs/>
          <w:spacing w:val="-3"/>
          <w:sz w:val="22"/>
          <w:szCs w:val="22"/>
          <w:shd w:val="clear" w:color="auto" w:fill="FFFFFF"/>
        </w:rPr>
      </w:pPr>
    </w:p>
    <w:p w14:paraId="74E1554D" w14:textId="1937FF83" w:rsidR="00F4126F" w:rsidRPr="006A1355" w:rsidRDefault="00F4126F" w:rsidP="00F4126F">
      <w:pPr>
        <w:pStyle w:val="ListParagraph"/>
        <w:numPr>
          <w:ilvl w:val="0"/>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w:t>
      </w:r>
      <w:r w:rsidR="00F177D0" w:rsidRPr="006A1355">
        <w:rPr>
          <w:rFonts w:ascii="Arial" w:hAnsi="Arial" w:cs="Arial"/>
          <w:bCs/>
          <w:spacing w:val="-3"/>
          <w:sz w:val="22"/>
          <w:szCs w:val="22"/>
          <w:shd w:val="clear" w:color="auto" w:fill="FFFFFF"/>
        </w:rPr>
        <w:t>28M for HH-60W Mods</w:t>
      </w:r>
    </w:p>
    <w:p w14:paraId="2886ABC3" w14:textId="3B517639" w:rsidR="00F177D0" w:rsidRPr="006A1355" w:rsidRDefault="00F177D0" w:rsidP="00F177D0">
      <w:pPr>
        <w:pStyle w:val="ListParagraph"/>
        <w:numPr>
          <w:ilvl w:val="1"/>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 xml:space="preserve">Consistent with the PB </w:t>
      </w:r>
      <w:r w:rsidR="00325C07" w:rsidRPr="006A1355">
        <w:rPr>
          <w:rFonts w:ascii="Arial" w:hAnsi="Arial" w:cs="Arial"/>
          <w:bCs/>
          <w:spacing w:val="-3"/>
          <w:sz w:val="22"/>
          <w:szCs w:val="22"/>
          <w:shd w:val="clear" w:color="auto" w:fill="FFFFFF"/>
        </w:rPr>
        <w:t>Request</w:t>
      </w:r>
    </w:p>
    <w:p w14:paraId="72A0C402" w14:textId="77777777" w:rsidR="00325C07" w:rsidRPr="006A1355" w:rsidRDefault="00325C07" w:rsidP="00325C07">
      <w:pPr>
        <w:pStyle w:val="ListParagraph"/>
        <w:spacing w:after="0" w:line="240" w:lineRule="auto"/>
        <w:ind w:left="1440"/>
        <w:jc w:val="both"/>
        <w:rPr>
          <w:rFonts w:ascii="Arial" w:hAnsi="Arial" w:cs="Arial"/>
          <w:bCs/>
          <w:spacing w:val="-3"/>
          <w:sz w:val="22"/>
          <w:szCs w:val="22"/>
          <w:shd w:val="clear" w:color="auto" w:fill="FFFFFF"/>
        </w:rPr>
      </w:pPr>
    </w:p>
    <w:p w14:paraId="56BFB42D" w14:textId="6AACB91C" w:rsidR="00F177D0" w:rsidRPr="006A1355" w:rsidRDefault="00325C07" w:rsidP="00F177D0">
      <w:pPr>
        <w:pStyle w:val="ListParagraph"/>
        <w:numPr>
          <w:ilvl w:val="0"/>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$213M for HC/MC-130 Mods</w:t>
      </w:r>
    </w:p>
    <w:p w14:paraId="4A888497" w14:textId="0913174E" w:rsidR="00325C07" w:rsidRPr="006A1355" w:rsidRDefault="00325C07" w:rsidP="00325C07">
      <w:pPr>
        <w:pStyle w:val="ListParagraph"/>
        <w:numPr>
          <w:ilvl w:val="1"/>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 xml:space="preserve">Consistent with the PB Request </w:t>
      </w:r>
    </w:p>
    <w:p w14:paraId="2ABA80C9" w14:textId="77777777" w:rsidR="00893088" w:rsidRPr="006A1355" w:rsidRDefault="00893088" w:rsidP="00893088">
      <w:pPr>
        <w:pStyle w:val="ListParagraph"/>
        <w:spacing w:after="0" w:line="240" w:lineRule="auto"/>
        <w:ind w:left="1440"/>
        <w:jc w:val="both"/>
        <w:rPr>
          <w:rFonts w:ascii="Arial" w:hAnsi="Arial" w:cs="Arial"/>
          <w:bCs/>
          <w:spacing w:val="-3"/>
          <w:sz w:val="22"/>
          <w:szCs w:val="22"/>
          <w:shd w:val="clear" w:color="auto" w:fill="FFFFFF"/>
        </w:rPr>
      </w:pPr>
    </w:p>
    <w:p w14:paraId="08A92EE0" w14:textId="53EEAC00" w:rsidR="00285EBC" w:rsidRPr="006A1355" w:rsidRDefault="00285EBC" w:rsidP="00285EBC">
      <w:pPr>
        <w:pStyle w:val="ListParagraph"/>
        <w:numPr>
          <w:ilvl w:val="0"/>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w:t>
      </w:r>
      <w:r w:rsidR="00893088" w:rsidRPr="006A1355">
        <w:rPr>
          <w:rFonts w:ascii="Arial" w:hAnsi="Arial" w:cs="Arial"/>
          <w:bCs/>
          <w:spacing w:val="-3"/>
          <w:sz w:val="22"/>
          <w:szCs w:val="22"/>
          <w:shd w:val="clear" w:color="auto" w:fill="FFFFFF"/>
        </w:rPr>
        <w:t>19M for MQ-9 Unmanned Aerial Vehicle</w:t>
      </w:r>
    </w:p>
    <w:p w14:paraId="1E2D46EF" w14:textId="5EDB7E16" w:rsidR="00893088" w:rsidRPr="006A1355" w:rsidRDefault="00893088" w:rsidP="00893088">
      <w:pPr>
        <w:pStyle w:val="ListParagraph"/>
        <w:numPr>
          <w:ilvl w:val="1"/>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Consistent with the PB Request</w:t>
      </w:r>
    </w:p>
    <w:p w14:paraId="261F850F" w14:textId="77777777" w:rsidR="004866E2" w:rsidRPr="006A1355" w:rsidRDefault="004866E2" w:rsidP="004866E2">
      <w:pPr>
        <w:pStyle w:val="ListParagraph"/>
        <w:spacing w:after="0" w:line="240" w:lineRule="auto"/>
        <w:ind w:left="1440"/>
        <w:jc w:val="both"/>
        <w:rPr>
          <w:rFonts w:ascii="Arial" w:hAnsi="Arial" w:cs="Arial"/>
          <w:bCs/>
          <w:spacing w:val="-3"/>
          <w:sz w:val="22"/>
          <w:szCs w:val="22"/>
          <w:shd w:val="clear" w:color="auto" w:fill="FFFFFF"/>
        </w:rPr>
      </w:pPr>
    </w:p>
    <w:p w14:paraId="358D947B" w14:textId="48B00F4D" w:rsidR="00B2115D" w:rsidRPr="006A1355" w:rsidRDefault="004866E2" w:rsidP="00B2115D">
      <w:pPr>
        <w:pStyle w:val="ListParagraph"/>
        <w:numPr>
          <w:ilvl w:val="0"/>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$40M for MQ-9 Mods</w:t>
      </w:r>
    </w:p>
    <w:p w14:paraId="5E14A385" w14:textId="54C9EFB1" w:rsidR="009C146B" w:rsidRPr="006A1355" w:rsidRDefault="004866E2" w:rsidP="0074447C">
      <w:pPr>
        <w:pStyle w:val="ListParagraph"/>
        <w:numPr>
          <w:ilvl w:val="1"/>
          <w:numId w:val="10"/>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$28M increase from the P</w:t>
      </w:r>
      <w:r w:rsidR="002B6634">
        <w:rPr>
          <w:rFonts w:ascii="Arial" w:hAnsi="Arial" w:cs="Arial"/>
          <w:bCs/>
          <w:spacing w:val="-3"/>
          <w:sz w:val="22"/>
          <w:szCs w:val="22"/>
          <w:shd w:val="clear" w:color="auto" w:fill="FFFFFF"/>
        </w:rPr>
        <w:t xml:space="preserve">B </w:t>
      </w:r>
      <w:r w:rsidRPr="006A1355">
        <w:rPr>
          <w:rFonts w:ascii="Arial" w:hAnsi="Arial" w:cs="Arial"/>
          <w:bCs/>
          <w:spacing w:val="-3"/>
          <w:sz w:val="22"/>
          <w:szCs w:val="22"/>
          <w:shd w:val="clear" w:color="auto" w:fill="FFFFFF"/>
        </w:rPr>
        <w:t>Request</w:t>
      </w:r>
    </w:p>
    <w:p w14:paraId="7513D34E" w14:textId="77777777" w:rsidR="00B31186" w:rsidRPr="006A1355" w:rsidRDefault="00B31186" w:rsidP="00B31186">
      <w:pPr>
        <w:spacing w:after="0" w:line="240" w:lineRule="auto"/>
        <w:jc w:val="both"/>
        <w:rPr>
          <w:bCs/>
          <w:spacing w:val="-3"/>
          <w:szCs w:val="22"/>
          <w:shd w:val="clear" w:color="auto" w:fill="FFFFFF"/>
        </w:rPr>
      </w:pPr>
    </w:p>
    <w:p w14:paraId="39AC5C2E" w14:textId="5E73F59F" w:rsidR="00B31186" w:rsidRPr="006A1355" w:rsidRDefault="00B31186" w:rsidP="00B31186">
      <w:pPr>
        <w:spacing w:after="0" w:line="240" w:lineRule="auto"/>
        <w:jc w:val="both"/>
        <w:rPr>
          <w:b/>
          <w:color w:val="542566"/>
          <w:spacing w:val="-3"/>
          <w:szCs w:val="22"/>
          <w:shd w:val="clear" w:color="auto" w:fill="FFFFFF"/>
        </w:rPr>
      </w:pPr>
      <w:r w:rsidRPr="006A1355">
        <w:rPr>
          <w:b/>
          <w:color w:val="542566"/>
          <w:spacing w:val="-3"/>
          <w:szCs w:val="22"/>
          <w:shd w:val="clear" w:color="auto" w:fill="FFFFFF"/>
        </w:rPr>
        <w:t xml:space="preserve">Joint-Personnel </w:t>
      </w:r>
    </w:p>
    <w:p w14:paraId="6069EC9E" w14:textId="77777777" w:rsidR="001C0A00" w:rsidRPr="006A1355" w:rsidRDefault="001C0A00" w:rsidP="00B31186">
      <w:pPr>
        <w:spacing w:after="0" w:line="240" w:lineRule="auto"/>
        <w:jc w:val="both"/>
        <w:rPr>
          <w:b/>
          <w:color w:val="542566"/>
          <w:spacing w:val="-3"/>
          <w:szCs w:val="22"/>
          <w:shd w:val="clear" w:color="auto" w:fill="FFFFFF"/>
        </w:rPr>
      </w:pPr>
    </w:p>
    <w:p w14:paraId="1392ED90" w14:textId="2BC3269E" w:rsidR="0074447C" w:rsidRPr="006A1355" w:rsidRDefault="0074447C" w:rsidP="0074447C">
      <w:pPr>
        <w:pStyle w:val="ListParagraph"/>
        <w:numPr>
          <w:ilvl w:val="0"/>
          <w:numId w:val="11"/>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$3.6B for MILCON</w:t>
      </w:r>
      <w:r w:rsidR="00011C90" w:rsidRPr="006A1355">
        <w:rPr>
          <w:rFonts w:ascii="Arial" w:hAnsi="Arial" w:cs="Arial"/>
          <w:bCs/>
          <w:spacing w:val="-3"/>
          <w:sz w:val="22"/>
          <w:szCs w:val="22"/>
          <w:shd w:val="clear" w:color="auto" w:fill="FFFFFF"/>
        </w:rPr>
        <w:t>, including</w:t>
      </w:r>
      <w:r w:rsidR="009C37FE" w:rsidRPr="006A1355">
        <w:rPr>
          <w:rFonts w:ascii="Arial" w:hAnsi="Arial" w:cs="Arial"/>
          <w:bCs/>
          <w:spacing w:val="-3"/>
          <w:sz w:val="22"/>
          <w:szCs w:val="22"/>
          <w:shd w:val="clear" w:color="auto" w:fill="FFFFFF"/>
        </w:rPr>
        <w:t>:</w:t>
      </w:r>
    </w:p>
    <w:p w14:paraId="77F6E08B" w14:textId="3409440C" w:rsidR="00011C90" w:rsidRPr="006A1355" w:rsidRDefault="00011C90" w:rsidP="00011C90">
      <w:pPr>
        <w:pStyle w:val="ListParagraph"/>
        <w:numPr>
          <w:ilvl w:val="1"/>
          <w:numId w:val="11"/>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$448M for the ARNG</w:t>
      </w:r>
    </w:p>
    <w:p w14:paraId="76C3DA2C" w14:textId="5EEC5699" w:rsidR="008F6446" w:rsidRDefault="009C37FE" w:rsidP="009C37FE">
      <w:pPr>
        <w:pStyle w:val="ListParagraph"/>
        <w:numPr>
          <w:ilvl w:val="1"/>
          <w:numId w:val="11"/>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$2382.8M for the ANG</w:t>
      </w:r>
    </w:p>
    <w:p w14:paraId="49214371" w14:textId="77777777" w:rsidR="002B6634" w:rsidRPr="006A1355" w:rsidRDefault="002B6634" w:rsidP="002B6634">
      <w:pPr>
        <w:pStyle w:val="ListParagraph"/>
        <w:spacing w:after="0" w:line="240" w:lineRule="auto"/>
        <w:ind w:left="1440"/>
        <w:jc w:val="both"/>
        <w:rPr>
          <w:rFonts w:ascii="Arial" w:hAnsi="Arial" w:cs="Arial"/>
          <w:bCs/>
          <w:spacing w:val="-3"/>
          <w:sz w:val="22"/>
          <w:szCs w:val="22"/>
          <w:shd w:val="clear" w:color="auto" w:fill="FFFFFF"/>
        </w:rPr>
      </w:pPr>
    </w:p>
    <w:p w14:paraId="6B8C5DA9" w14:textId="16BA8244" w:rsidR="00356A7D" w:rsidRPr="006A1355" w:rsidRDefault="00356A7D" w:rsidP="00356A7D">
      <w:pPr>
        <w:pStyle w:val="ListParagraph"/>
        <w:numPr>
          <w:ilvl w:val="0"/>
          <w:numId w:val="11"/>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$106M for National Guard Counter-Drug Program</w:t>
      </w:r>
    </w:p>
    <w:p w14:paraId="26313738" w14:textId="0FCC0A79" w:rsidR="00356A7D" w:rsidRPr="006A1355" w:rsidRDefault="00356A7D" w:rsidP="00356A7D">
      <w:pPr>
        <w:pStyle w:val="ListParagraph"/>
        <w:numPr>
          <w:ilvl w:val="1"/>
          <w:numId w:val="11"/>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Consistent with the PB Request</w:t>
      </w:r>
    </w:p>
    <w:p w14:paraId="65F661A4" w14:textId="77777777" w:rsidR="00356A7D" w:rsidRPr="006A1355" w:rsidRDefault="00356A7D" w:rsidP="00356A7D">
      <w:pPr>
        <w:pStyle w:val="ListParagraph"/>
        <w:spacing w:after="0" w:line="240" w:lineRule="auto"/>
        <w:ind w:left="1440"/>
        <w:jc w:val="both"/>
        <w:rPr>
          <w:rFonts w:ascii="Arial" w:hAnsi="Arial" w:cs="Arial"/>
          <w:bCs/>
          <w:spacing w:val="-3"/>
          <w:sz w:val="22"/>
          <w:szCs w:val="22"/>
          <w:shd w:val="clear" w:color="auto" w:fill="FFFFFF"/>
        </w:rPr>
      </w:pPr>
    </w:p>
    <w:p w14:paraId="094291F9" w14:textId="197A111A" w:rsidR="00356A7D" w:rsidRPr="006A1355" w:rsidRDefault="00356A7D" w:rsidP="00356A7D">
      <w:pPr>
        <w:pStyle w:val="ListParagraph"/>
        <w:numPr>
          <w:ilvl w:val="0"/>
          <w:numId w:val="11"/>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 xml:space="preserve">$6M for National Guard Counter-Drug Schools </w:t>
      </w:r>
    </w:p>
    <w:p w14:paraId="2C75D655" w14:textId="7920DC5D" w:rsidR="001C0A00" w:rsidRPr="006A1355" w:rsidRDefault="001C0A00" w:rsidP="001C0A00">
      <w:pPr>
        <w:pStyle w:val="ListParagraph"/>
        <w:numPr>
          <w:ilvl w:val="1"/>
          <w:numId w:val="11"/>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Consistent with the PB Request</w:t>
      </w:r>
    </w:p>
    <w:p w14:paraId="673DD05A" w14:textId="77777777" w:rsidR="008329A7" w:rsidRPr="006A1355" w:rsidRDefault="008329A7" w:rsidP="008329A7">
      <w:pPr>
        <w:pStyle w:val="ListParagraph"/>
        <w:spacing w:after="0" w:line="240" w:lineRule="auto"/>
        <w:ind w:left="1440"/>
        <w:jc w:val="both"/>
        <w:rPr>
          <w:rFonts w:ascii="Arial" w:hAnsi="Arial" w:cs="Arial"/>
          <w:bCs/>
          <w:spacing w:val="-3"/>
          <w:sz w:val="22"/>
          <w:szCs w:val="22"/>
          <w:shd w:val="clear" w:color="auto" w:fill="FFFFFF"/>
        </w:rPr>
      </w:pPr>
    </w:p>
    <w:p w14:paraId="6F51DEA0" w14:textId="07BC7360" w:rsidR="00CC047B" w:rsidRPr="006A1355" w:rsidRDefault="00CC047B" w:rsidP="00CC047B">
      <w:pPr>
        <w:pStyle w:val="ListParagraph"/>
        <w:numPr>
          <w:ilvl w:val="0"/>
          <w:numId w:val="11"/>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w:t>
      </w:r>
      <w:r w:rsidR="000B2BD9" w:rsidRPr="006A1355">
        <w:rPr>
          <w:rFonts w:ascii="Arial" w:hAnsi="Arial" w:cs="Arial"/>
          <w:bCs/>
          <w:spacing w:val="-3"/>
          <w:sz w:val="22"/>
          <w:szCs w:val="22"/>
          <w:shd w:val="clear" w:color="auto" w:fill="FFFFFF"/>
        </w:rPr>
        <w:t>90M</w:t>
      </w:r>
      <w:r w:rsidRPr="006A1355">
        <w:rPr>
          <w:rFonts w:ascii="Arial" w:hAnsi="Arial" w:cs="Arial"/>
          <w:bCs/>
          <w:spacing w:val="-3"/>
          <w:sz w:val="22"/>
          <w:szCs w:val="22"/>
          <w:shd w:val="clear" w:color="auto" w:fill="FFFFFF"/>
        </w:rPr>
        <w:t xml:space="preserve"> for National Guard </w:t>
      </w:r>
      <w:r w:rsidR="000B2BD9" w:rsidRPr="006A1355">
        <w:rPr>
          <w:rFonts w:ascii="Arial" w:hAnsi="Arial" w:cs="Arial"/>
          <w:bCs/>
          <w:spacing w:val="-3"/>
          <w:sz w:val="22"/>
          <w:szCs w:val="22"/>
          <w:shd w:val="clear" w:color="auto" w:fill="FFFFFF"/>
        </w:rPr>
        <w:t>Youth</w:t>
      </w:r>
      <w:r w:rsidRPr="006A1355">
        <w:rPr>
          <w:rFonts w:ascii="Arial" w:hAnsi="Arial" w:cs="Arial"/>
          <w:bCs/>
          <w:spacing w:val="-3"/>
          <w:sz w:val="22"/>
          <w:szCs w:val="22"/>
          <w:shd w:val="clear" w:color="auto" w:fill="FFFFFF"/>
        </w:rPr>
        <w:t xml:space="preserve"> Challenge</w:t>
      </w:r>
    </w:p>
    <w:p w14:paraId="43321208" w14:textId="77777777" w:rsidR="008329A7" w:rsidRPr="006A1355" w:rsidRDefault="008329A7" w:rsidP="008329A7">
      <w:pPr>
        <w:pStyle w:val="ListParagraph"/>
        <w:spacing w:after="0" w:line="240" w:lineRule="auto"/>
        <w:jc w:val="both"/>
        <w:rPr>
          <w:rFonts w:ascii="Arial" w:hAnsi="Arial" w:cs="Arial"/>
          <w:bCs/>
          <w:spacing w:val="-3"/>
          <w:sz w:val="22"/>
          <w:szCs w:val="22"/>
          <w:shd w:val="clear" w:color="auto" w:fill="FFFFFF"/>
        </w:rPr>
      </w:pPr>
    </w:p>
    <w:p w14:paraId="7534BEB0" w14:textId="123B3B01" w:rsidR="00CC047B" w:rsidRPr="006A1355" w:rsidRDefault="008329A7" w:rsidP="008329A7">
      <w:pPr>
        <w:pStyle w:val="ListParagraph"/>
        <w:numPr>
          <w:ilvl w:val="0"/>
          <w:numId w:val="11"/>
        </w:numPr>
        <w:spacing w:after="0" w:line="240" w:lineRule="auto"/>
        <w:jc w:val="both"/>
        <w:rPr>
          <w:rFonts w:ascii="Arial" w:hAnsi="Arial" w:cs="Arial"/>
          <w:bCs/>
          <w:spacing w:val="-3"/>
          <w:sz w:val="22"/>
          <w:szCs w:val="22"/>
          <w:shd w:val="clear" w:color="auto" w:fill="FFFFFF"/>
        </w:rPr>
      </w:pPr>
      <w:r w:rsidRPr="006A1355">
        <w:rPr>
          <w:rFonts w:ascii="Arial" w:hAnsi="Arial" w:cs="Arial"/>
          <w:bCs/>
          <w:spacing w:val="-3"/>
          <w:sz w:val="22"/>
          <w:szCs w:val="22"/>
          <w:shd w:val="clear" w:color="auto" w:fill="FFFFFF"/>
        </w:rPr>
        <w:t>$50M for STARBASE</w:t>
      </w:r>
    </w:p>
    <w:p w14:paraId="38BF85C1" w14:textId="77777777" w:rsidR="00955038" w:rsidRPr="006A1355" w:rsidRDefault="00955038" w:rsidP="009C37FE">
      <w:pPr>
        <w:spacing w:after="0" w:line="240" w:lineRule="auto"/>
        <w:ind w:left="0" w:firstLine="0"/>
        <w:jc w:val="both"/>
        <w:rPr>
          <w:bCs/>
          <w:color w:val="auto"/>
          <w:spacing w:val="-3"/>
          <w:szCs w:val="22"/>
          <w:shd w:val="clear" w:color="auto" w:fill="FFFFFF"/>
        </w:rPr>
      </w:pPr>
    </w:p>
    <w:p w14:paraId="3066A8E8" w14:textId="77777777" w:rsidR="00955038" w:rsidRPr="006A1355" w:rsidRDefault="00955038" w:rsidP="00955038">
      <w:pPr>
        <w:rPr>
          <w:b/>
          <w:bCs/>
          <w:color w:val="auto"/>
          <w:szCs w:val="22"/>
        </w:rPr>
      </w:pPr>
      <w:r w:rsidRPr="006A1355">
        <w:rPr>
          <w:b/>
          <w:bCs/>
          <w:color w:val="auto"/>
          <w:szCs w:val="22"/>
        </w:rPr>
        <w:t>Additional Provisions:</w:t>
      </w:r>
    </w:p>
    <w:p w14:paraId="22774584" w14:textId="77777777" w:rsidR="002261FB" w:rsidRPr="006A1355" w:rsidRDefault="002261FB" w:rsidP="00955038">
      <w:pPr>
        <w:rPr>
          <w:b/>
          <w:bCs/>
          <w:color w:val="auto"/>
          <w:szCs w:val="22"/>
        </w:rPr>
      </w:pPr>
    </w:p>
    <w:p w14:paraId="78963BDB" w14:textId="088D2798" w:rsidR="007207C7" w:rsidRDefault="002261FB" w:rsidP="005A000D">
      <w:pPr>
        <w:spacing w:after="0" w:line="240" w:lineRule="auto"/>
        <w:jc w:val="both"/>
        <w:rPr>
          <w:bCs/>
          <w:color w:val="auto"/>
          <w:spacing w:val="-3"/>
          <w:szCs w:val="22"/>
          <w:shd w:val="clear" w:color="auto" w:fill="FFFFFF"/>
        </w:rPr>
      </w:pPr>
      <w:r w:rsidRPr="006A1355">
        <w:rPr>
          <w:bCs/>
          <w:color w:val="auto"/>
          <w:spacing w:val="-3"/>
          <w:szCs w:val="22"/>
          <w:shd w:val="clear" w:color="auto" w:fill="FFFFFF"/>
        </w:rPr>
        <w:t>Sec. 111</w:t>
      </w:r>
      <w:r w:rsidR="0035201E">
        <w:rPr>
          <w:bCs/>
          <w:color w:val="auto"/>
          <w:spacing w:val="-3"/>
          <w:szCs w:val="22"/>
          <w:shd w:val="clear" w:color="auto" w:fill="FFFFFF"/>
        </w:rPr>
        <w:t xml:space="preserve">. </w:t>
      </w:r>
      <w:r w:rsidRPr="006A1355">
        <w:rPr>
          <w:bCs/>
          <w:color w:val="auto"/>
          <w:spacing w:val="-3"/>
          <w:szCs w:val="22"/>
          <w:shd w:val="clear" w:color="auto" w:fill="FFFFFF"/>
        </w:rPr>
        <w:t>The Secretary of the Army shall carry out a pilot program under which the Secretary incorporates the use of moving robotic target systems into live fire training provided to select infantry units of the reserve and National Guard components of the Army (pg. 36).</w:t>
      </w:r>
    </w:p>
    <w:p w14:paraId="1F5FD61F" w14:textId="77777777" w:rsidR="005A000D" w:rsidRPr="006A1355" w:rsidRDefault="005A000D" w:rsidP="005A000D">
      <w:pPr>
        <w:spacing w:after="0" w:line="240" w:lineRule="auto"/>
        <w:jc w:val="both"/>
        <w:rPr>
          <w:bCs/>
          <w:color w:val="auto"/>
          <w:spacing w:val="-3"/>
          <w:szCs w:val="22"/>
          <w:shd w:val="clear" w:color="auto" w:fill="FFFFFF"/>
        </w:rPr>
      </w:pPr>
    </w:p>
    <w:p w14:paraId="368338D2" w14:textId="54650DCF" w:rsidR="007207C7" w:rsidRPr="006A1355" w:rsidRDefault="007207C7" w:rsidP="007207C7">
      <w:pPr>
        <w:spacing w:after="0" w:line="240" w:lineRule="auto"/>
        <w:jc w:val="both"/>
        <w:rPr>
          <w:bCs/>
          <w:color w:val="auto"/>
          <w:spacing w:val="-3"/>
          <w:szCs w:val="22"/>
          <w:shd w:val="clear" w:color="auto" w:fill="FFFFFF"/>
        </w:rPr>
      </w:pPr>
      <w:r w:rsidRPr="006A1355">
        <w:rPr>
          <w:bCs/>
          <w:color w:val="auto"/>
          <w:spacing w:val="-3"/>
          <w:szCs w:val="22"/>
          <w:shd w:val="clear" w:color="auto" w:fill="FFFFFF"/>
        </w:rPr>
        <w:lastRenderedPageBreak/>
        <w:t>Sec. 113</w:t>
      </w:r>
      <w:r w:rsidR="0035201E">
        <w:rPr>
          <w:bCs/>
          <w:color w:val="auto"/>
          <w:spacing w:val="-3"/>
          <w:szCs w:val="22"/>
          <w:shd w:val="clear" w:color="auto" w:fill="FFFFFF"/>
        </w:rPr>
        <w:t xml:space="preserve">. </w:t>
      </w:r>
      <w:r w:rsidRPr="006A1355">
        <w:rPr>
          <w:bCs/>
          <w:color w:val="auto"/>
          <w:spacing w:val="-3"/>
          <w:szCs w:val="22"/>
          <w:shd w:val="clear" w:color="auto" w:fill="FFFFFF"/>
        </w:rPr>
        <w:t xml:space="preserve"> The Secretary of the Army shall submit to the congressional defense </w:t>
      </w:r>
      <w:proofErr w:type="gramStart"/>
      <w:r w:rsidRPr="006A1355">
        <w:rPr>
          <w:bCs/>
          <w:color w:val="auto"/>
          <w:spacing w:val="-3"/>
          <w:szCs w:val="22"/>
          <w:shd w:val="clear" w:color="auto" w:fill="FFFFFF"/>
        </w:rPr>
        <w:t>committees</w:t>
      </w:r>
      <w:proofErr w:type="gramEnd"/>
      <w:r w:rsidRPr="006A1355">
        <w:rPr>
          <w:bCs/>
          <w:color w:val="auto"/>
          <w:spacing w:val="-3"/>
          <w:szCs w:val="22"/>
          <w:shd w:val="clear" w:color="auto" w:fill="FFFFFF"/>
        </w:rPr>
        <w:t xml:space="preserve"> a report on Modernization of the Black Hawk helicopter program of the Army (pg. 41). </w:t>
      </w:r>
    </w:p>
    <w:p w14:paraId="65FE7A1E" w14:textId="77777777" w:rsidR="00AD13D2" w:rsidRPr="006A1355" w:rsidRDefault="00AD13D2" w:rsidP="00AD13D2">
      <w:pPr>
        <w:spacing w:after="0" w:line="240" w:lineRule="auto"/>
        <w:ind w:left="0" w:firstLine="0"/>
        <w:jc w:val="both"/>
        <w:rPr>
          <w:bCs/>
          <w:color w:val="auto"/>
          <w:spacing w:val="-3"/>
          <w:szCs w:val="22"/>
          <w:shd w:val="clear" w:color="auto" w:fill="FFFFFF"/>
        </w:rPr>
      </w:pPr>
    </w:p>
    <w:p w14:paraId="6E9FB753" w14:textId="77777777" w:rsidR="00AD13D2" w:rsidRPr="006A1355" w:rsidRDefault="00AD13D2" w:rsidP="00AD13D2">
      <w:pPr>
        <w:spacing w:after="0" w:line="240" w:lineRule="auto"/>
        <w:jc w:val="both"/>
        <w:rPr>
          <w:bCs/>
          <w:spacing w:val="-3"/>
          <w:szCs w:val="22"/>
          <w:shd w:val="clear" w:color="auto" w:fill="FFFFFF"/>
        </w:rPr>
      </w:pPr>
      <w:r w:rsidRPr="006A1355">
        <w:rPr>
          <w:bCs/>
          <w:color w:val="auto"/>
          <w:spacing w:val="-3"/>
          <w:szCs w:val="22"/>
          <w:shd w:val="clear" w:color="auto" w:fill="FFFFFF"/>
        </w:rPr>
        <w:t xml:space="preserve">Sec. 114. </w:t>
      </w:r>
      <w:r w:rsidRPr="006A1355">
        <w:rPr>
          <w:bCs/>
          <w:spacing w:val="-3"/>
          <w:szCs w:val="22"/>
          <w:shd w:val="clear" w:color="auto" w:fill="FFFFFF"/>
        </w:rPr>
        <w:t>The Secretary of the Army shall submit to the congressional defense committees a plan for providing aircraft to relevant aviation units of the Army National Guard, including AH-64E aircraft,</w:t>
      </w:r>
    </w:p>
    <w:p w14:paraId="7A107FA9" w14:textId="2B2EAD43" w:rsidR="00AD13D2" w:rsidRPr="006A1355" w:rsidRDefault="00AD13D2" w:rsidP="00AD13D2">
      <w:pPr>
        <w:spacing w:after="0" w:line="240" w:lineRule="auto"/>
        <w:jc w:val="both"/>
        <w:rPr>
          <w:bCs/>
          <w:spacing w:val="-3"/>
          <w:szCs w:val="22"/>
          <w:shd w:val="clear" w:color="auto" w:fill="FFFFFF"/>
        </w:rPr>
      </w:pPr>
      <w:r w:rsidRPr="006A1355">
        <w:rPr>
          <w:bCs/>
          <w:spacing w:val="-3"/>
          <w:szCs w:val="22"/>
          <w:shd w:val="clear" w:color="auto" w:fill="FFFFFF"/>
        </w:rPr>
        <w:t xml:space="preserve">MQ-1C M25 aircraft, CH-47 aircraft. UH-60M aircraft, and future long-range assault aircraft (pg. 42). </w:t>
      </w:r>
    </w:p>
    <w:p w14:paraId="63ED36A2" w14:textId="77777777" w:rsidR="008369DF" w:rsidRPr="006A1355" w:rsidRDefault="008369DF" w:rsidP="00AD13D2">
      <w:pPr>
        <w:spacing w:after="0" w:line="240" w:lineRule="auto"/>
        <w:jc w:val="both"/>
        <w:rPr>
          <w:bCs/>
          <w:spacing w:val="-3"/>
          <w:szCs w:val="22"/>
          <w:shd w:val="clear" w:color="auto" w:fill="FFFFFF"/>
        </w:rPr>
      </w:pPr>
    </w:p>
    <w:p w14:paraId="7D9B1692" w14:textId="11CD646A" w:rsidR="00A85DFE" w:rsidRPr="006A1355" w:rsidRDefault="008369DF" w:rsidP="00A85DFE">
      <w:pPr>
        <w:spacing w:after="0" w:line="240" w:lineRule="auto"/>
        <w:jc w:val="both"/>
        <w:rPr>
          <w:bCs/>
          <w:spacing w:val="-3"/>
          <w:szCs w:val="22"/>
          <w:shd w:val="clear" w:color="auto" w:fill="FFFFFF"/>
        </w:rPr>
      </w:pPr>
      <w:r w:rsidRPr="006A1355">
        <w:rPr>
          <w:bCs/>
          <w:spacing w:val="-3"/>
          <w:szCs w:val="22"/>
          <w:shd w:val="clear" w:color="auto" w:fill="FFFFFF"/>
        </w:rPr>
        <w:t xml:space="preserve">Sec. 151. None of the funds authorized to be appropriated by this Act of otherwise made available for fiscal year 2025 for the Air Force may be obligated or expanded to reduce the number of KC-135 aircraft designated as primary mission aircraft inventory within the reserve components of the Air Force (pg. 53). </w:t>
      </w:r>
    </w:p>
    <w:p w14:paraId="5127FE55" w14:textId="77777777" w:rsidR="00A85DFE" w:rsidRPr="006A1355" w:rsidRDefault="00A85DFE" w:rsidP="00A85DFE">
      <w:pPr>
        <w:spacing w:after="0" w:line="240" w:lineRule="auto"/>
        <w:ind w:left="0"/>
        <w:jc w:val="both"/>
        <w:rPr>
          <w:bCs/>
          <w:spacing w:val="-3"/>
          <w:szCs w:val="22"/>
          <w:shd w:val="clear" w:color="auto" w:fill="FFFFFF"/>
        </w:rPr>
      </w:pPr>
    </w:p>
    <w:p w14:paraId="67EB83B1" w14:textId="51558700" w:rsidR="00A85DFE" w:rsidRPr="006A1355" w:rsidRDefault="00A85DFE" w:rsidP="005C1B11">
      <w:pPr>
        <w:spacing w:after="0" w:line="240" w:lineRule="auto"/>
        <w:ind w:left="0"/>
        <w:jc w:val="both"/>
        <w:rPr>
          <w:bCs/>
          <w:spacing w:val="-3"/>
          <w:szCs w:val="22"/>
          <w:shd w:val="clear" w:color="auto" w:fill="FFFFFF"/>
        </w:rPr>
      </w:pPr>
      <w:r w:rsidRPr="006A1355">
        <w:rPr>
          <w:bCs/>
          <w:spacing w:val="-3"/>
          <w:szCs w:val="22"/>
          <w:shd w:val="clear" w:color="auto" w:fill="FFFFFF"/>
        </w:rPr>
        <w:t>Sec. 154</w:t>
      </w:r>
      <w:r w:rsidR="0035201E">
        <w:rPr>
          <w:bCs/>
          <w:spacing w:val="-3"/>
          <w:szCs w:val="22"/>
          <w:shd w:val="clear" w:color="auto" w:fill="FFFFFF"/>
        </w:rPr>
        <w:t xml:space="preserve">. </w:t>
      </w:r>
      <w:r w:rsidRPr="006A1355">
        <w:rPr>
          <w:bCs/>
          <w:spacing w:val="-3"/>
          <w:szCs w:val="22"/>
          <w:shd w:val="clear" w:color="auto" w:fill="FFFFFF"/>
        </w:rPr>
        <w:t xml:space="preserve">The Secretary of the Air Force may not retire, prepare to retire, or place in storage or on backup aircraft inventory status any F-15E aircraft until a period of 180 days has elapsed following the date on which the Secretary of Defense provides to the congressional defense committees the reports and briefing required under subsection (b)(3) (pg. 55). </w:t>
      </w:r>
    </w:p>
    <w:p w14:paraId="6D6A9569" w14:textId="77777777" w:rsidR="00955038" w:rsidRPr="006A1355" w:rsidRDefault="00955038" w:rsidP="007207C7">
      <w:pPr>
        <w:ind w:left="0" w:firstLine="0"/>
        <w:rPr>
          <w:b/>
          <w:bCs/>
          <w:color w:val="auto"/>
          <w:szCs w:val="22"/>
        </w:rPr>
      </w:pPr>
    </w:p>
    <w:p w14:paraId="2CF2C1C6" w14:textId="77777777" w:rsidR="00955038" w:rsidRPr="006A1355" w:rsidRDefault="00955038" w:rsidP="00955038">
      <w:pPr>
        <w:rPr>
          <w:rFonts w:eastAsia="Times New Roman"/>
          <w:color w:val="auto"/>
          <w:kern w:val="0"/>
          <w:szCs w:val="22"/>
          <w14:ligatures w14:val="none"/>
        </w:rPr>
      </w:pPr>
      <w:r w:rsidRPr="006A1355">
        <w:rPr>
          <w:rFonts w:eastAsia="Times New Roman"/>
          <w:color w:val="auto"/>
          <w:kern w:val="0"/>
          <w:szCs w:val="22"/>
          <w14:ligatures w14:val="none"/>
        </w:rPr>
        <w:t xml:space="preserve">Sec. 513. Requires the Secretary of Defense to conduct a study on the feasibility of establishing a unit of the National Guard in the territories of American Samoa and the Commonwealth of the Northern Mariana Islands (pg. 212). </w:t>
      </w:r>
    </w:p>
    <w:p w14:paraId="7800A0AB" w14:textId="77777777" w:rsidR="00955038" w:rsidRPr="006A1355" w:rsidRDefault="00955038" w:rsidP="00955038">
      <w:pPr>
        <w:rPr>
          <w:rFonts w:eastAsia="Times New Roman"/>
          <w:color w:val="auto"/>
          <w:kern w:val="0"/>
          <w:szCs w:val="22"/>
          <w14:ligatures w14:val="none"/>
        </w:rPr>
      </w:pPr>
    </w:p>
    <w:p w14:paraId="4B20B4DC" w14:textId="77777777" w:rsidR="00955038" w:rsidRPr="006A1355" w:rsidRDefault="00955038" w:rsidP="00955038">
      <w:pPr>
        <w:rPr>
          <w:rFonts w:eastAsia="Times New Roman"/>
          <w:color w:val="auto"/>
          <w:kern w:val="0"/>
          <w:szCs w:val="22"/>
          <w14:ligatures w14:val="none"/>
        </w:rPr>
      </w:pPr>
      <w:r w:rsidRPr="006A1355">
        <w:rPr>
          <w:rFonts w:eastAsia="Times New Roman"/>
          <w:color w:val="auto"/>
          <w:kern w:val="0"/>
          <w:szCs w:val="22"/>
          <w14:ligatures w14:val="none"/>
        </w:rPr>
        <w:t xml:space="preserve">Sec. 521. The Secretary of the Air Force may transfer to the Space Force the covered space functions of the air National Guard of the United States. Such transfers shall occur subject </w:t>
      </w:r>
      <w:proofErr w:type="spellStart"/>
      <w:r w:rsidRPr="006A1355">
        <w:rPr>
          <w:rFonts w:eastAsia="Times New Roman"/>
          <w:color w:val="auto"/>
          <w:kern w:val="0"/>
          <w:szCs w:val="22"/>
          <w14:ligatures w14:val="none"/>
        </w:rPr>
        <w:t>o</w:t>
      </w:r>
      <w:proofErr w:type="spellEnd"/>
      <w:r w:rsidRPr="006A1355">
        <w:rPr>
          <w:rFonts w:eastAsia="Times New Roman"/>
          <w:color w:val="auto"/>
          <w:kern w:val="0"/>
          <w:szCs w:val="22"/>
          <w14:ligatures w14:val="none"/>
        </w:rPr>
        <w:t xml:space="preserve"> section 104 of title 32, United States Code, and section 19238 of title 10, United States Code (pg. 217). </w:t>
      </w:r>
    </w:p>
    <w:p w14:paraId="40C735C3" w14:textId="77777777" w:rsidR="00955038" w:rsidRPr="006A1355" w:rsidRDefault="00955038" w:rsidP="00955038">
      <w:pPr>
        <w:ind w:left="0" w:firstLine="0"/>
        <w:rPr>
          <w:b/>
          <w:bCs/>
          <w:color w:val="auto"/>
          <w:szCs w:val="22"/>
        </w:rPr>
      </w:pPr>
    </w:p>
    <w:p w14:paraId="35664B83" w14:textId="77777777" w:rsidR="00955038" w:rsidRPr="006A1355" w:rsidRDefault="00955038" w:rsidP="00955038">
      <w:pPr>
        <w:spacing w:after="0" w:line="240" w:lineRule="auto"/>
        <w:ind w:left="0"/>
        <w:jc w:val="both"/>
        <w:rPr>
          <w:bCs/>
          <w:spacing w:val="-3"/>
          <w:szCs w:val="22"/>
          <w:shd w:val="clear" w:color="auto" w:fill="FFFFFF"/>
        </w:rPr>
      </w:pPr>
      <w:r w:rsidRPr="006A1355">
        <w:rPr>
          <w:bCs/>
          <w:spacing w:val="-3"/>
          <w:szCs w:val="22"/>
          <w:shd w:val="clear" w:color="auto" w:fill="FFFFFF"/>
        </w:rPr>
        <w:t xml:space="preserve">Sec. 533. The Secretary of Defense may reimburse an individual who applies to join a covered Armed Forces for costs incurred by such </w:t>
      </w:r>
      <w:proofErr w:type="gramStart"/>
      <w:r w:rsidRPr="006A1355">
        <w:rPr>
          <w:bCs/>
          <w:spacing w:val="-3"/>
          <w:szCs w:val="22"/>
          <w:shd w:val="clear" w:color="auto" w:fill="FFFFFF"/>
        </w:rPr>
        <w:t>individual</w:t>
      </w:r>
      <w:proofErr w:type="gramEnd"/>
      <w:r w:rsidRPr="006A1355">
        <w:rPr>
          <w:bCs/>
          <w:spacing w:val="-3"/>
          <w:szCs w:val="22"/>
          <w:shd w:val="clear" w:color="auto" w:fill="FFFFFF"/>
        </w:rPr>
        <w:t xml:space="preserve"> for a medical appointment required for military entrance processing (pg. 244).</w:t>
      </w:r>
    </w:p>
    <w:p w14:paraId="306BB9FB" w14:textId="77777777" w:rsidR="00955038" w:rsidRPr="006A1355" w:rsidRDefault="00955038" w:rsidP="00955038">
      <w:pPr>
        <w:spacing w:after="0" w:line="240" w:lineRule="auto"/>
        <w:ind w:left="0"/>
        <w:jc w:val="both"/>
        <w:rPr>
          <w:bCs/>
          <w:spacing w:val="-3"/>
          <w:szCs w:val="22"/>
          <w:shd w:val="clear" w:color="auto" w:fill="FFFFFF"/>
        </w:rPr>
      </w:pPr>
    </w:p>
    <w:p w14:paraId="2FCAA069" w14:textId="77777777" w:rsidR="00955038" w:rsidRPr="006A1355" w:rsidRDefault="00955038" w:rsidP="00955038">
      <w:pPr>
        <w:ind w:left="0"/>
        <w:jc w:val="both"/>
        <w:rPr>
          <w:color w:val="auto"/>
          <w:szCs w:val="22"/>
        </w:rPr>
      </w:pPr>
      <w:r w:rsidRPr="006A1355">
        <w:rPr>
          <w:bCs/>
          <w:spacing w:val="-3"/>
          <w:szCs w:val="22"/>
          <w:shd w:val="clear" w:color="auto" w:fill="FFFFFF"/>
        </w:rPr>
        <w:t xml:space="preserve">Sec, 549G. </w:t>
      </w:r>
      <w:r w:rsidRPr="006A1355">
        <w:rPr>
          <w:color w:val="auto"/>
          <w:szCs w:val="22"/>
        </w:rPr>
        <w:t>Establishes a pilot program within the Department of the air Force for rapid response language training.</w:t>
      </w:r>
    </w:p>
    <w:p w14:paraId="0B78A7E7" w14:textId="77777777" w:rsidR="00955038" w:rsidRPr="006A1355" w:rsidRDefault="00955038" w:rsidP="00955038">
      <w:pPr>
        <w:ind w:left="0"/>
        <w:jc w:val="both"/>
        <w:rPr>
          <w:color w:val="auto"/>
          <w:szCs w:val="22"/>
        </w:rPr>
      </w:pPr>
    </w:p>
    <w:p w14:paraId="2ECDEE89" w14:textId="77777777" w:rsidR="00955038" w:rsidRPr="006A1355" w:rsidRDefault="00955038" w:rsidP="00955038">
      <w:pPr>
        <w:ind w:left="0"/>
        <w:jc w:val="both"/>
        <w:rPr>
          <w:color w:val="auto"/>
          <w:szCs w:val="22"/>
        </w:rPr>
      </w:pPr>
      <w:r w:rsidRPr="006A1355">
        <w:rPr>
          <w:color w:val="auto"/>
          <w:szCs w:val="22"/>
        </w:rPr>
        <w:t>Sec. 561. The Secretary concerned may waive the requirement for preparation counseling under (pg. 322).</w:t>
      </w:r>
    </w:p>
    <w:p w14:paraId="2D44B84A" w14:textId="77777777" w:rsidR="00955038" w:rsidRPr="006A1355" w:rsidRDefault="00955038" w:rsidP="00955038">
      <w:pPr>
        <w:ind w:left="0"/>
        <w:jc w:val="both"/>
        <w:rPr>
          <w:color w:val="auto"/>
          <w:szCs w:val="22"/>
        </w:rPr>
      </w:pPr>
    </w:p>
    <w:p w14:paraId="32209CA2" w14:textId="0A824F6D" w:rsidR="000C43AB" w:rsidRPr="006A1355" w:rsidRDefault="000C43AB" w:rsidP="00955038">
      <w:pPr>
        <w:ind w:left="0"/>
        <w:jc w:val="both"/>
        <w:rPr>
          <w:color w:val="auto"/>
          <w:szCs w:val="22"/>
        </w:rPr>
      </w:pPr>
      <w:r w:rsidRPr="006A1355">
        <w:rPr>
          <w:color w:val="auto"/>
          <w:szCs w:val="22"/>
        </w:rPr>
        <w:t xml:space="preserve">Sec. 599. CNGB shall submit a report to the </w:t>
      </w:r>
      <w:r w:rsidR="00E54FB1" w:rsidRPr="006A1355">
        <w:rPr>
          <w:color w:val="auto"/>
          <w:szCs w:val="22"/>
        </w:rPr>
        <w:t>Committees</w:t>
      </w:r>
      <w:r w:rsidRPr="006A1355">
        <w:rPr>
          <w:color w:val="auto"/>
          <w:szCs w:val="22"/>
        </w:rPr>
        <w:t xml:space="preserve"> on Armed </w:t>
      </w:r>
      <w:r w:rsidR="00E54FB1" w:rsidRPr="006A1355">
        <w:rPr>
          <w:color w:val="auto"/>
          <w:szCs w:val="22"/>
        </w:rPr>
        <w:t>Services</w:t>
      </w:r>
      <w:r w:rsidRPr="006A1355">
        <w:rPr>
          <w:color w:val="auto"/>
          <w:szCs w:val="22"/>
        </w:rPr>
        <w:t xml:space="preserve"> of the Senate and House of Representatives containing the n umber of national guard members, aggregated by State, that received </w:t>
      </w:r>
      <w:r w:rsidR="00E54FB1" w:rsidRPr="006A1355">
        <w:rPr>
          <w:color w:val="auto"/>
          <w:szCs w:val="22"/>
        </w:rPr>
        <w:t>sexual</w:t>
      </w:r>
      <w:r w:rsidRPr="006A1355">
        <w:rPr>
          <w:color w:val="auto"/>
          <w:szCs w:val="22"/>
        </w:rPr>
        <w:t xml:space="preserve"> assault and response prevention training </w:t>
      </w:r>
      <w:r w:rsidR="00E54FB1" w:rsidRPr="006A1355">
        <w:rPr>
          <w:color w:val="auto"/>
          <w:szCs w:val="22"/>
        </w:rPr>
        <w:t>in</w:t>
      </w:r>
      <w:r w:rsidRPr="006A1355">
        <w:rPr>
          <w:color w:val="auto"/>
          <w:szCs w:val="22"/>
        </w:rPr>
        <w:t xml:space="preserve"> the </w:t>
      </w:r>
      <w:r w:rsidR="00E54FB1" w:rsidRPr="006A1355">
        <w:rPr>
          <w:color w:val="auto"/>
          <w:szCs w:val="22"/>
        </w:rPr>
        <w:t>preceding</w:t>
      </w:r>
      <w:r w:rsidRPr="006A1355">
        <w:rPr>
          <w:color w:val="auto"/>
          <w:szCs w:val="22"/>
        </w:rPr>
        <w:t xml:space="preserve"> calendar year (pg. 403). </w:t>
      </w:r>
    </w:p>
    <w:p w14:paraId="2A24B01C" w14:textId="77777777" w:rsidR="00E54FB1" w:rsidRPr="006A1355" w:rsidRDefault="00E54FB1" w:rsidP="00955038">
      <w:pPr>
        <w:ind w:left="0"/>
        <w:jc w:val="both"/>
        <w:rPr>
          <w:color w:val="auto"/>
          <w:szCs w:val="22"/>
        </w:rPr>
      </w:pPr>
    </w:p>
    <w:p w14:paraId="405EC367" w14:textId="5747D7C9" w:rsidR="00955038" w:rsidRPr="006A1355" w:rsidRDefault="00955038" w:rsidP="00955038">
      <w:pPr>
        <w:ind w:left="0" w:firstLine="0"/>
        <w:jc w:val="both"/>
        <w:rPr>
          <w:color w:val="auto"/>
          <w:szCs w:val="22"/>
        </w:rPr>
      </w:pPr>
      <w:r w:rsidRPr="006A1355">
        <w:rPr>
          <w:color w:val="auto"/>
          <w:szCs w:val="22"/>
        </w:rPr>
        <w:t xml:space="preserve">Sec. 613. Authorizes the Secretary of the Air Force and the Secretary of the Navy to designate the assignment of a member of the Armed Forces to Creech Air Force Base, Nevada, or Naval Air Station Fallon, Nevada, respectively, as an assistant that makes the member eligible for assignment incentive </w:t>
      </w:r>
      <w:r w:rsidR="00A85DFE" w:rsidRPr="006A1355">
        <w:rPr>
          <w:color w:val="auto"/>
          <w:szCs w:val="22"/>
        </w:rPr>
        <w:t>pay</w:t>
      </w:r>
      <w:r w:rsidRPr="006A1355">
        <w:rPr>
          <w:color w:val="auto"/>
          <w:szCs w:val="22"/>
        </w:rPr>
        <w:t xml:space="preserve"> under section 307a of title 37, United States Code (pg. 416). </w:t>
      </w:r>
    </w:p>
    <w:p w14:paraId="0E7B1C10" w14:textId="77777777" w:rsidR="00955038" w:rsidRPr="006A1355" w:rsidRDefault="00955038" w:rsidP="00955038">
      <w:pPr>
        <w:ind w:left="0"/>
        <w:jc w:val="both"/>
        <w:rPr>
          <w:color w:val="auto"/>
          <w:szCs w:val="22"/>
        </w:rPr>
      </w:pPr>
    </w:p>
    <w:p w14:paraId="23F05CE5" w14:textId="77777777" w:rsidR="00955038" w:rsidRPr="006A1355" w:rsidRDefault="00955038" w:rsidP="00955038">
      <w:pPr>
        <w:ind w:left="0"/>
        <w:jc w:val="both"/>
        <w:rPr>
          <w:color w:val="auto"/>
          <w:szCs w:val="22"/>
        </w:rPr>
      </w:pPr>
      <w:r w:rsidRPr="006A1355">
        <w:rPr>
          <w:color w:val="auto"/>
          <w:szCs w:val="22"/>
        </w:rPr>
        <w:t>Sec. 735. Requires the Secretary of Defense to submit a report to Congress evaluating beneficiary access to TRICARE network pharmacies under the TPharm5 contract and changes in beneficiary access versus the TPharm4 contract (pg. 517).</w:t>
      </w:r>
    </w:p>
    <w:p w14:paraId="572870D1" w14:textId="77777777" w:rsidR="00955038" w:rsidRPr="006A1355" w:rsidRDefault="00955038" w:rsidP="00955038">
      <w:pPr>
        <w:ind w:left="0"/>
        <w:jc w:val="both"/>
        <w:rPr>
          <w:color w:val="auto"/>
          <w:szCs w:val="22"/>
        </w:rPr>
      </w:pPr>
    </w:p>
    <w:p w14:paraId="457CE189" w14:textId="77777777" w:rsidR="00955038" w:rsidRPr="006A1355" w:rsidRDefault="00955038" w:rsidP="00955038">
      <w:pPr>
        <w:ind w:left="0"/>
        <w:jc w:val="both"/>
        <w:rPr>
          <w:color w:val="auto"/>
          <w:szCs w:val="22"/>
        </w:rPr>
      </w:pPr>
      <w:r w:rsidRPr="006A1355">
        <w:rPr>
          <w:color w:val="auto"/>
          <w:szCs w:val="22"/>
        </w:rPr>
        <w:t xml:space="preserve">Sec. 736. The Secretary of Defense shall submit to the Committees on Armed Services of the Senate and House Representatives as report on cost sharing paid by beneficiaries under the TRICARE program for outpatient visits for mental health of behavioral health care. (pg. 522). </w:t>
      </w:r>
    </w:p>
    <w:p w14:paraId="62E515EA" w14:textId="77777777" w:rsidR="00955038" w:rsidRPr="006A1355" w:rsidRDefault="00955038" w:rsidP="00955038">
      <w:pPr>
        <w:ind w:left="0"/>
        <w:jc w:val="both"/>
        <w:rPr>
          <w:color w:val="auto"/>
          <w:szCs w:val="22"/>
        </w:rPr>
      </w:pPr>
    </w:p>
    <w:p w14:paraId="0986A759" w14:textId="77777777" w:rsidR="00955038" w:rsidRPr="006A1355" w:rsidRDefault="00955038" w:rsidP="00955038">
      <w:pPr>
        <w:ind w:left="0"/>
        <w:jc w:val="both"/>
        <w:rPr>
          <w:color w:val="auto"/>
          <w:szCs w:val="22"/>
        </w:rPr>
      </w:pPr>
      <w:r w:rsidRPr="006A1355">
        <w:rPr>
          <w:color w:val="auto"/>
          <w:szCs w:val="22"/>
        </w:rPr>
        <w:t xml:space="preserve">Sec. 922. Eligibility of Chief of the National Guard Bureau for Appointment as Chairman of the Joint Chiefs of Staff (pg. 683). </w:t>
      </w:r>
    </w:p>
    <w:p w14:paraId="0DCEC60B" w14:textId="77777777" w:rsidR="00955038" w:rsidRPr="006A1355" w:rsidRDefault="00955038" w:rsidP="00955038">
      <w:pPr>
        <w:spacing w:after="0" w:line="240" w:lineRule="auto"/>
        <w:ind w:left="0"/>
        <w:jc w:val="both"/>
        <w:rPr>
          <w:bCs/>
          <w:spacing w:val="-3"/>
          <w:szCs w:val="22"/>
          <w:shd w:val="clear" w:color="auto" w:fill="FFFFFF"/>
        </w:rPr>
      </w:pPr>
    </w:p>
    <w:p w14:paraId="50905D20" w14:textId="77777777" w:rsidR="00955038" w:rsidRPr="006A1355" w:rsidRDefault="00955038" w:rsidP="00955038">
      <w:pPr>
        <w:ind w:left="0"/>
        <w:jc w:val="both"/>
        <w:rPr>
          <w:color w:val="auto"/>
          <w:szCs w:val="22"/>
        </w:rPr>
      </w:pPr>
      <w:r w:rsidRPr="006A1355">
        <w:rPr>
          <w:color w:val="auto"/>
          <w:szCs w:val="22"/>
        </w:rPr>
        <w:t xml:space="preserve">Sec. 1055. The Secretary of the Air Force, in consultation with the Commander of United states European Command and the Commander of the United States Indo-Pacific Command, shall develop a plan to support the fielding of air base air defense sites at Air Force installations and other priority sites (pg. 755). </w:t>
      </w:r>
    </w:p>
    <w:p w14:paraId="4D517941" w14:textId="77777777" w:rsidR="00955038" w:rsidRPr="006A1355" w:rsidRDefault="00955038" w:rsidP="00955038">
      <w:pPr>
        <w:ind w:left="0"/>
        <w:jc w:val="both"/>
        <w:rPr>
          <w:color w:val="auto"/>
          <w:szCs w:val="22"/>
        </w:rPr>
      </w:pPr>
    </w:p>
    <w:p w14:paraId="49A58A47" w14:textId="77777777" w:rsidR="00955038" w:rsidRPr="006A1355" w:rsidRDefault="00955038" w:rsidP="00955038">
      <w:pPr>
        <w:ind w:left="0"/>
        <w:jc w:val="both"/>
        <w:rPr>
          <w:color w:val="auto"/>
          <w:szCs w:val="22"/>
        </w:rPr>
      </w:pPr>
      <w:r w:rsidRPr="006A1355">
        <w:rPr>
          <w:color w:val="auto"/>
          <w:szCs w:val="22"/>
        </w:rPr>
        <w:t xml:space="preserve">Sec. 1001. The Secretary of the Army, in coordination with the Combine Arms Center of the United States Army Training and Doctrine Command, shall carry the overall readiness of the Army in a contest logistics environment (pg. 808). </w:t>
      </w:r>
    </w:p>
    <w:p w14:paraId="28228F5F" w14:textId="77777777" w:rsidR="008D76F4" w:rsidRPr="006A1355" w:rsidRDefault="008D76F4" w:rsidP="00955038">
      <w:pPr>
        <w:ind w:left="0"/>
        <w:jc w:val="both"/>
        <w:rPr>
          <w:color w:val="auto"/>
          <w:szCs w:val="22"/>
        </w:rPr>
      </w:pPr>
    </w:p>
    <w:p w14:paraId="30E7B37F" w14:textId="069897E5" w:rsidR="008D76F4" w:rsidRPr="006A1355" w:rsidRDefault="008D76F4" w:rsidP="00A62AFC">
      <w:pPr>
        <w:jc w:val="both"/>
        <w:rPr>
          <w:szCs w:val="22"/>
        </w:rPr>
      </w:pPr>
      <w:r w:rsidRPr="006A1355">
        <w:rPr>
          <w:szCs w:val="22"/>
        </w:rPr>
        <w:t xml:space="preserve">Sec. 1049C. None of the funds authorized to be </w:t>
      </w:r>
      <w:r w:rsidR="00A62AFC" w:rsidRPr="006A1355">
        <w:rPr>
          <w:szCs w:val="22"/>
        </w:rPr>
        <w:t>appropriated</w:t>
      </w:r>
      <w:r w:rsidRPr="006A1355">
        <w:rPr>
          <w:szCs w:val="22"/>
        </w:rPr>
        <w:t xml:space="preserve"> </w:t>
      </w:r>
      <w:r w:rsidR="00A62AFC" w:rsidRPr="006A1355">
        <w:rPr>
          <w:szCs w:val="22"/>
        </w:rPr>
        <w:t>by this</w:t>
      </w:r>
      <w:r w:rsidRPr="006A1355">
        <w:rPr>
          <w:szCs w:val="22"/>
        </w:rPr>
        <w:t xml:space="preserve"> Act or </w:t>
      </w:r>
      <w:r w:rsidR="00A62AFC" w:rsidRPr="006A1355">
        <w:rPr>
          <w:szCs w:val="22"/>
        </w:rPr>
        <w:t>otherwise</w:t>
      </w:r>
      <w:r w:rsidRPr="006A1355">
        <w:rPr>
          <w:szCs w:val="22"/>
        </w:rPr>
        <w:t xml:space="preserve"> made available for the Department of </w:t>
      </w:r>
      <w:r w:rsidR="00A62AFC" w:rsidRPr="006A1355">
        <w:rPr>
          <w:szCs w:val="22"/>
        </w:rPr>
        <w:t xml:space="preserve">Defense </w:t>
      </w:r>
      <w:r w:rsidRPr="006A1355">
        <w:rPr>
          <w:szCs w:val="22"/>
        </w:rPr>
        <w:t xml:space="preserve">for FY25 may be used to cut any </w:t>
      </w:r>
      <w:r w:rsidR="00A62AFC" w:rsidRPr="006A1355">
        <w:rPr>
          <w:szCs w:val="22"/>
        </w:rPr>
        <w:t>service</w:t>
      </w:r>
      <w:r w:rsidRPr="006A1355">
        <w:rPr>
          <w:szCs w:val="22"/>
        </w:rPr>
        <w:t xml:space="preserve"> provided by a combat training readiness center operated </w:t>
      </w:r>
      <w:r w:rsidR="00BF2780" w:rsidRPr="006A1355">
        <w:rPr>
          <w:szCs w:val="22"/>
        </w:rPr>
        <w:t>by</w:t>
      </w:r>
      <w:r w:rsidRPr="006A1355">
        <w:rPr>
          <w:szCs w:val="22"/>
        </w:rPr>
        <w:t xml:space="preserve"> the Air Force National Guard at any of the following locations</w:t>
      </w:r>
      <w:r w:rsidR="00A62AFC" w:rsidRPr="006A1355">
        <w:rPr>
          <w:szCs w:val="22"/>
        </w:rPr>
        <w:t xml:space="preserve"> (pg. 745)</w:t>
      </w:r>
      <w:r w:rsidRPr="006A1355">
        <w:rPr>
          <w:szCs w:val="22"/>
        </w:rPr>
        <w:t>:</w:t>
      </w:r>
    </w:p>
    <w:p w14:paraId="7E5A1DC6" w14:textId="45C2A554" w:rsidR="008D76F4" w:rsidRPr="006A1355" w:rsidRDefault="00A62AFC" w:rsidP="00A62AFC">
      <w:pPr>
        <w:pStyle w:val="ListParagraph"/>
        <w:numPr>
          <w:ilvl w:val="0"/>
          <w:numId w:val="15"/>
        </w:numPr>
        <w:jc w:val="both"/>
        <w:rPr>
          <w:rFonts w:ascii="Arial" w:hAnsi="Arial" w:cs="Arial"/>
          <w:sz w:val="22"/>
          <w:szCs w:val="22"/>
        </w:rPr>
      </w:pPr>
      <w:r w:rsidRPr="006A1355">
        <w:rPr>
          <w:rFonts w:ascii="Arial" w:hAnsi="Arial" w:cs="Arial"/>
          <w:sz w:val="22"/>
          <w:szCs w:val="22"/>
        </w:rPr>
        <w:t>Savannah, Georgia</w:t>
      </w:r>
    </w:p>
    <w:p w14:paraId="76E6428E" w14:textId="43966122" w:rsidR="00A62AFC" w:rsidRPr="006A1355" w:rsidRDefault="00A62AFC" w:rsidP="00A62AFC">
      <w:pPr>
        <w:pStyle w:val="ListParagraph"/>
        <w:numPr>
          <w:ilvl w:val="0"/>
          <w:numId w:val="15"/>
        </w:numPr>
        <w:jc w:val="both"/>
        <w:rPr>
          <w:rFonts w:ascii="Arial" w:hAnsi="Arial" w:cs="Arial"/>
          <w:sz w:val="22"/>
          <w:szCs w:val="22"/>
        </w:rPr>
      </w:pPr>
      <w:r w:rsidRPr="006A1355">
        <w:rPr>
          <w:rFonts w:ascii="Arial" w:hAnsi="Arial" w:cs="Arial"/>
          <w:sz w:val="22"/>
          <w:szCs w:val="22"/>
        </w:rPr>
        <w:t>Gulfport, Mississippi</w:t>
      </w:r>
    </w:p>
    <w:p w14:paraId="12B53FA3" w14:textId="76359884" w:rsidR="00A62AFC" w:rsidRPr="006A1355" w:rsidRDefault="00A62AFC" w:rsidP="00A62AFC">
      <w:pPr>
        <w:pStyle w:val="ListParagraph"/>
        <w:numPr>
          <w:ilvl w:val="0"/>
          <w:numId w:val="15"/>
        </w:numPr>
        <w:jc w:val="both"/>
        <w:rPr>
          <w:rFonts w:ascii="Arial" w:hAnsi="Arial" w:cs="Arial"/>
          <w:sz w:val="22"/>
          <w:szCs w:val="22"/>
        </w:rPr>
      </w:pPr>
      <w:r w:rsidRPr="006A1355">
        <w:rPr>
          <w:rFonts w:ascii="Arial" w:hAnsi="Arial" w:cs="Arial"/>
          <w:sz w:val="22"/>
          <w:szCs w:val="22"/>
        </w:rPr>
        <w:t>Alpena, Michigan</w:t>
      </w:r>
    </w:p>
    <w:p w14:paraId="6EB6B38F" w14:textId="1822C13A" w:rsidR="00955038" w:rsidRPr="006A1355" w:rsidRDefault="00A62AFC" w:rsidP="00A62AFC">
      <w:pPr>
        <w:pStyle w:val="ListParagraph"/>
        <w:numPr>
          <w:ilvl w:val="0"/>
          <w:numId w:val="15"/>
        </w:numPr>
        <w:jc w:val="both"/>
        <w:rPr>
          <w:rFonts w:ascii="Arial" w:hAnsi="Arial" w:cs="Arial"/>
          <w:sz w:val="22"/>
          <w:szCs w:val="22"/>
        </w:rPr>
      </w:pPr>
      <w:r w:rsidRPr="006A1355">
        <w:rPr>
          <w:rFonts w:ascii="Arial" w:hAnsi="Arial" w:cs="Arial"/>
          <w:sz w:val="22"/>
          <w:szCs w:val="22"/>
        </w:rPr>
        <w:t>Volk Field, Wisconsin</w:t>
      </w:r>
    </w:p>
    <w:p w14:paraId="7213791F" w14:textId="77777777" w:rsidR="00955038" w:rsidRPr="006A1355" w:rsidRDefault="00955038" w:rsidP="00955038">
      <w:pPr>
        <w:ind w:left="0"/>
        <w:jc w:val="both"/>
        <w:rPr>
          <w:rFonts w:eastAsia="Times New Roman"/>
          <w:color w:val="auto"/>
          <w:kern w:val="0"/>
          <w:szCs w:val="22"/>
          <w14:ligatures w14:val="none"/>
        </w:rPr>
      </w:pPr>
      <w:r w:rsidRPr="006A1355">
        <w:rPr>
          <w:rFonts w:eastAsia="Times New Roman"/>
          <w:color w:val="auto"/>
          <w:kern w:val="0"/>
          <w:szCs w:val="22"/>
          <w14:ligatures w14:val="none"/>
        </w:rPr>
        <w:t>Sec. 1207. Requires SECDEF reporting on the feasibility and advisability of enhancing cooperation between the National Guard and India, to include the establishment of a state partnership, under 10USC§341 (pg. 856).</w:t>
      </w:r>
    </w:p>
    <w:p w14:paraId="701A83FC" w14:textId="77777777" w:rsidR="00955038" w:rsidRPr="006A1355" w:rsidRDefault="00955038" w:rsidP="00955038">
      <w:pPr>
        <w:ind w:left="0"/>
        <w:jc w:val="both"/>
        <w:rPr>
          <w:rFonts w:eastAsia="Times New Roman"/>
          <w:color w:val="auto"/>
          <w:kern w:val="0"/>
          <w:szCs w:val="22"/>
          <w14:ligatures w14:val="none"/>
        </w:rPr>
      </w:pPr>
    </w:p>
    <w:p w14:paraId="44463FC6" w14:textId="77777777" w:rsidR="00955038" w:rsidRPr="006A1355" w:rsidRDefault="00955038" w:rsidP="00955038">
      <w:pPr>
        <w:ind w:left="0"/>
        <w:jc w:val="both"/>
        <w:rPr>
          <w:rFonts w:eastAsia="Times New Roman"/>
          <w:color w:val="auto"/>
          <w:kern w:val="0"/>
          <w:szCs w:val="22"/>
          <w14:ligatures w14:val="none"/>
        </w:rPr>
      </w:pPr>
      <w:r w:rsidRPr="006A1355">
        <w:rPr>
          <w:rFonts w:eastAsia="Times New Roman"/>
          <w:color w:val="auto"/>
          <w:kern w:val="0"/>
          <w:szCs w:val="22"/>
          <w14:ligatures w14:val="none"/>
        </w:rPr>
        <w:t xml:space="preserve">Sec. 1539. The Secretary of Defense shall submit to the congressional defense committees a report on the feasibility of establishing a cyber unit in every National Guard of a State to ensure the ability of a State to quickly respond to cyber-attacks in such State (pg. 1009). </w:t>
      </w:r>
    </w:p>
    <w:p w14:paraId="5609780E" w14:textId="77777777" w:rsidR="00955038" w:rsidRPr="006A1355" w:rsidRDefault="00955038" w:rsidP="00955038">
      <w:pPr>
        <w:ind w:left="0"/>
        <w:jc w:val="both"/>
        <w:rPr>
          <w:rFonts w:eastAsia="Times New Roman"/>
          <w:color w:val="auto"/>
          <w:kern w:val="0"/>
          <w:szCs w:val="22"/>
          <w14:ligatures w14:val="none"/>
        </w:rPr>
      </w:pPr>
    </w:p>
    <w:p w14:paraId="444F84DB" w14:textId="53C0CA68" w:rsidR="00955038" w:rsidRPr="006A1355" w:rsidRDefault="00955038" w:rsidP="00955038">
      <w:pPr>
        <w:ind w:left="0" w:firstLine="0"/>
        <w:rPr>
          <w:szCs w:val="22"/>
        </w:rPr>
      </w:pPr>
      <w:r w:rsidRPr="006A1355">
        <w:rPr>
          <w:szCs w:val="22"/>
        </w:rPr>
        <w:t>Sec.1739. Directs the Under Secretary of Defense for Policy, in consultation with the Secretary of State and the Chief of the National Guard Bureau, to assess and report on the feasibility and benefits of expanding the National Guard State Partnership Program in the Pacific Island</w:t>
      </w:r>
      <w:r w:rsidR="00216194">
        <w:rPr>
          <w:szCs w:val="22"/>
        </w:rPr>
        <w:t xml:space="preserve">s </w:t>
      </w:r>
      <w:r w:rsidRPr="006A1355">
        <w:rPr>
          <w:szCs w:val="22"/>
        </w:rPr>
        <w:t xml:space="preserve">(pg. 1006). </w:t>
      </w:r>
    </w:p>
    <w:p w14:paraId="39A8A23F" w14:textId="77777777" w:rsidR="00955038" w:rsidRPr="006A1355" w:rsidRDefault="00955038" w:rsidP="00955038">
      <w:pPr>
        <w:ind w:left="0" w:firstLine="0"/>
        <w:rPr>
          <w:szCs w:val="22"/>
        </w:rPr>
      </w:pPr>
    </w:p>
    <w:p w14:paraId="694E6A89" w14:textId="634DB22A" w:rsidR="0061245C" w:rsidRDefault="00955038" w:rsidP="00A85DFE">
      <w:pPr>
        <w:ind w:left="0" w:firstLine="0"/>
        <w:rPr>
          <w:szCs w:val="22"/>
        </w:rPr>
      </w:pPr>
      <w:r w:rsidRPr="006A1355">
        <w:rPr>
          <w:szCs w:val="22"/>
        </w:rPr>
        <w:t xml:space="preserve">Sec. 1818. The Secretary of Defense, in coordination with the Secretaries of the Army and Air Force, shall submit to the Committees on Armed Services of the Senate and House of Representatives a briefing regarding the access of members of the Army National Guard and Air Force National Guard to </w:t>
      </w:r>
      <w:r w:rsidR="003E4957" w:rsidRPr="006A1355">
        <w:rPr>
          <w:szCs w:val="22"/>
        </w:rPr>
        <w:t>childcare</w:t>
      </w:r>
      <w:r w:rsidRPr="006A1355">
        <w:rPr>
          <w:szCs w:val="22"/>
        </w:rPr>
        <w:t xml:space="preserve"> services at miliary child development centers (pg. 1191). </w:t>
      </w:r>
    </w:p>
    <w:p w14:paraId="2DCF1FD4" w14:textId="77777777" w:rsidR="004557AE" w:rsidRDefault="004557AE" w:rsidP="00A85DFE">
      <w:pPr>
        <w:ind w:left="0" w:firstLine="0"/>
        <w:rPr>
          <w:szCs w:val="22"/>
        </w:rPr>
      </w:pPr>
    </w:p>
    <w:p w14:paraId="70D346C1" w14:textId="77777777" w:rsidR="009146EF" w:rsidRPr="006A1355" w:rsidRDefault="009146EF" w:rsidP="00A85DFE">
      <w:pPr>
        <w:ind w:left="0" w:firstLine="0"/>
        <w:rPr>
          <w:szCs w:val="22"/>
        </w:rPr>
      </w:pPr>
    </w:p>
    <w:p w14:paraId="0221C792" w14:textId="77777777" w:rsidR="00841CCC" w:rsidRPr="006A1355" w:rsidRDefault="00841CCC" w:rsidP="00A85DFE">
      <w:pPr>
        <w:ind w:left="0" w:firstLine="0"/>
        <w:rPr>
          <w:szCs w:val="22"/>
        </w:rPr>
      </w:pPr>
    </w:p>
    <w:p w14:paraId="62E357F2" w14:textId="3F4D9E62" w:rsidR="00922D0D" w:rsidRPr="006A1355" w:rsidRDefault="00922D0D" w:rsidP="00922D0D">
      <w:pPr>
        <w:ind w:left="0" w:firstLine="0"/>
        <w:jc w:val="right"/>
        <w:rPr>
          <w:b/>
          <w:bCs/>
          <w:color w:val="1A3866"/>
          <w:szCs w:val="22"/>
        </w:rPr>
      </w:pPr>
      <w:r w:rsidRPr="006A1355">
        <w:rPr>
          <w:b/>
          <w:bCs/>
          <w:color w:val="1A3866"/>
          <w:szCs w:val="22"/>
        </w:rPr>
        <w:t>Revised by Mikaila Flagg</w:t>
      </w:r>
    </w:p>
    <w:p w14:paraId="65E16EB1" w14:textId="7FA5148B" w:rsidR="006A782F" w:rsidRPr="00841CCC" w:rsidRDefault="000F6D5E" w:rsidP="00841CCC">
      <w:pPr>
        <w:ind w:left="0" w:firstLine="0"/>
        <w:jc w:val="right"/>
        <w:rPr>
          <w:b/>
          <w:bCs/>
          <w:color w:val="1A3866"/>
          <w:szCs w:val="22"/>
        </w:rPr>
      </w:pPr>
      <w:r>
        <w:rPr>
          <w:b/>
          <w:bCs/>
          <w:color w:val="1A3866"/>
          <w:szCs w:val="22"/>
        </w:rPr>
        <w:t>1 July 2024</w:t>
      </w:r>
    </w:p>
    <w:sectPr w:rsidR="006A782F" w:rsidRPr="00841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thela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5554"/>
    <w:multiLevelType w:val="hybridMultilevel"/>
    <w:tmpl w:val="89085828"/>
    <w:lvl w:ilvl="0" w:tplc="04090001">
      <w:start w:val="1"/>
      <w:numFmt w:val="bullet"/>
      <w:lvlText w:val=""/>
      <w:lvlJc w:val="left"/>
      <w:pPr>
        <w:ind w:left="710" w:hanging="360"/>
      </w:pPr>
      <w:rPr>
        <w:rFonts w:ascii="Symbol" w:hAnsi="Symbol" w:hint="default"/>
      </w:rPr>
    </w:lvl>
    <w:lvl w:ilvl="1" w:tplc="04090003">
      <w:start w:val="1"/>
      <w:numFmt w:val="bullet"/>
      <w:lvlText w:val="o"/>
      <w:lvlJc w:val="left"/>
      <w:pPr>
        <w:ind w:left="1430" w:hanging="360"/>
      </w:pPr>
      <w:rPr>
        <w:rFonts w:ascii="Courier New" w:hAnsi="Courier New" w:cs="Courier New" w:hint="default"/>
      </w:rPr>
    </w:lvl>
    <w:lvl w:ilvl="2" w:tplc="04090005">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15:restartNumberingAfterBreak="0">
    <w:nsid w:val="0D565EC7"/>
    <w:multiLevelType w:val="hybridMultilevel"/>
    <w:tmpl w:val="869EE0C2"/>
    <w:lvl w:ilvl="0" w:tplc="7284A200">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D746D"/>
    <w:multiLevelType w:val="hybridMultilevel"/>
    <w:tmpl w:val="6A6ADDA6"/>
    <w:lvl w:ilvl="0" w:tplc="7284A200">
      <w:start w:val="1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B476C"/>
    <w:multiLevelType w:val="hybridMultilevel"/>
    <w:tmpl w:val="D3C6D2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7CE613F0">
      <w:start w:val="28"/>
      <w:numFmt w:val="bullet"/>
      <w:lvlText w:val="-"/>
      <w:lvlJc w:val="left"/>
      <w:pPr>
        <w:ind w:left="2160" w:hanging="360"/>
      </w:pPr>
      <w:rPr>
        <w:rFonts w:ascii="Arial" w:eastAsia="Arial"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235A8C"/>
    <w:multiLevelType w:val="hybridMultilevel"/>
    <w:tmpl w:val="0AF0074A"/>
    <w:lvl w:ilvl="0" w:tplc="7284A200">
      <w:start w:val="1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3425D"/>
    <w:multiLevelType w:val="hybridMultilevel"/>
    <w:tmpl w:val="EAE26040"/>
    <w:lvl w:ilvl="0" w:tplc="08D29EC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B60B49"/>
    <w:multiLevelType w:val="hybridMultilevel"/>
    <w:tmpl w:val="38241EF8"/>
    <w:lvl w:ilvl="0" w:tplc="7284A200">
      <w:start w:val="13"/>
      <w:numFmt w:val="bullet"/>
      <w:lvlText w:val="-"/>
      <w:lvlJc w:val="left"/>
      <w:pPr>
        <w:ind w:left="730" w:hanging="360"/>
      </w:pPr>
      <w:rPr>
        <w:rFonts w:ascii="Arial" w:eastAsia="Arial" w:hAnsi="Arial" w:cs="Aria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7" w15:restartNumberingAfterBreak="0">
    <w:nsid w:val="54231989"/>
    <w:multiLevelType w:val="hybridMultilevel"/>
    <w:tmpl w:val="8702BE5E"/>
    <w:lvl w:ilvl="0" w:tplc="08D29E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175A97"/>
    <w:multiLevelType w:val="hybridMultilevel"/>
    <w:tmpl w:val="1A7C7416"/>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9" w15:restartNumberingAfterBreak="0">
    <w:nsid w:val="5E3017C0"/>
    <w:multiLevelType w:val="hybridMultilevel"/>
    <w:tmpl w:val="ADA04C98"/>
    <w:lvl w:ilvl="0" w:tplc="7284A200">
      <w:start w:val="1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CA6149"/>
    <w:multiLevelType w:val="hybridMultilevel"/>
    <w:tmpl w:val="D47E6640"/>
    <w:lvl w:ilvl="0" w:tplc="7284A200">
      <w:start w:val="1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A147F"/>
    <w:multiLevelType w:val="hybridMultilevel"/>
    <w:tmpl w:val="15AA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C06244"/>
    <w:multiLevelType w:val="hybridMultilevel"/>
    <w:tmpl w:val="0C72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181243"/>
    <w:multiLevelType w:val="hybridMultilevel"/>
    <w:tmpl w:val="007CDE9C"/>
    <w:lvl w:ilvl="0" w:tplc="7284A200">
      <w:start w:val="13"/>
      <w:numFmt w:val="bullet"/>
      <w:lvlText w:val="-"/>
      <w:lvlJc w:val="left"/>
      <w:pPr>
        <w:ind w:left="730" w:hanging="360"/>
      </w:pPr>
      <w:rPr>
        <w:rFonts w:ascii="Arial" w:eastAsia="Arial" w:hAnsi="Arial" w:cs="Arial"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4" w15:restartNumberingAfterBreak="0">
    <w:nsid w:val="7D934B68"/>
    <w:multiLevelType w:val="hybridMultilevel"/>
    <w:tmpl w:val="38E05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691575">
    <w:abstractNumId w:val="14"/>
  </w:num>
  <w:num w:numId="2" w16cid:durableId="1130435920">
    <w:abstractNumId w:val="8"/>
  </w:num>
  <w:num w:numId="3" w16cid:durableId="1250624703">
    <w:abstractNumId w:val="2"/>
  </w:num>
  <w:num w:numId="4" w16cid:durableId="434254410">
    <w:abstractNumId w:val="5"/>
  </w:num>
  <w:num w:numId="5" w16cid:durableId="196938714">
    <w:abstractNumId w:val="7"/>
  </w:num>
  <w:num w:numId="6" w16cid:durableId="2000841507">
    <w:abstractNumId w:val="10"/>
  </w:num>
  <w:num w:numId="7" w16cid:durableId="538325934">
    <w:abstractNumId w:val="11"/>
  </w:num>
  <w:num w:numId="8" w16cid:durableId="81875069">
    <w:abstractNumId w:val="0"/>
  </w:num>
  <w:num w:numId="9" w16cid:durableId="1722289337">
    <w:abstractNumId w:val="1"/>
  </w:num>
  <w:num w:numId="10" w16cid:durableId="893269933">
    <w:abstractNumId w:val="3"/>
  </w:num>
  <w:num w:numId="11" w16cid:durableId="1914121364">
    <w:abstractNumId w:val="12"/>
  </w:num>
  <w:num w:numId="12" w16cid:durableId="1292707430">
    <w:abstractNumId w:val="9"/>
  </w:num>
  <w:num w:numId="13" w16cid:durableId="1645156544">
    <w:abstractNumId w:val="4"/>
  </w:num>
  <w:num w:numId="14" w16cid:durableId="1609503636">
    <w:abstractNumId w:val="6"/>
  </w:num>
  <w:num w:numId="15" w16cid:durableId="15277911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DF"/>
    <w:rsid w:val="0000203A"/>
    <w:rsid w:val="00003BC1"/>
    <w:rsid w:val="00011C90"/>
    <w:rsid w:val="00044C80"/>
    <w:rsid w:val="0006505F"/>
    <w:rsid w:val="00071A77"/>
    <w:rsid w:val="000860FA"/>
    <w:rsid w:val="00096CD3"/>
    <w:rsid w:val="000B13FE"/>
    <w:rsid w:val="000B2BD9"/>
    <w:rsid w:val="000B5E69"/>
    <w:rsid w:val="000C2774"/>
    <w:rsid w:val="000C39C0"/>
    <w:rsid w:val="000C43AB"/>
    <w:rsid w:val="000F0FCA"/>
    <w:rsid w:val="000F2363"/>
    <w:rsid w:val="000F6D5E"/>
    <w:rsid w:val="001030AC"/>
    <w:rsid w:val="0010468F"/>
    <w:rsid w:val="00106C56"/>
    <w:rsid w:val="00111E36"/>
    <w:rsid w:val="001144C9"/>
    <w:rsid w:val="00136999"/>
    <w:rsid w:val="0014123D"/>
    <w:rsid w:val="001446ED"/>
    <w:rsid w:val="001573B4"/>
    <w:rsid w:val="00163287"/>
    <w:rsid w:val="0016498D"/>
    <w:rsid w:val="00170E10"/>
    <w:rsid w:val="001972BE"/>
    <w:rsid w:val="001A1055"/>
    <w:rsid w:val="001A19D5"/>
    <w:rsid w:val="001A4B63"/>
    <w:rsid w:val="001C0A00"/>
    <w:rsid w:val="001D6EB8"/>
    <w:rsid w:val="002122F9"/>
    <w:rsid w:val="00216194"/>
    <w:rsid w:val="002261FB"/>
    <w:rsid w:val="0022786F"/>
    <w:rsid w:val="00232B9E"/>
    <w:rsid w:val="00245D9A"/>
    <w:rsid w:val="00255A84"/>
    <w:rsid w:val="002679F5"/>
    <w:rsid w:val="00272E4D"/>
    <w:rsid w:val="002756A3"/>
    <w:rsid w:val="002770A2"/>
    <w:rsid w:val="00285EBC"/>
    <w:rsid w:val="0028613C"/>
    <w:rsid w:val="00295F1A"/>
    <w:rsid w:val="002A2983"/>
    <w:rsid w:val="002B6634"/>
    <w:rsid w:val="002B69C1"/>
    <w:rsid w:val="002E1208"/>
    <w:rsid w:val="002E21BD"/>
    <w:rsid w:val="002E2B47"/>
    <w:rsid w:val="002F231D"/>
    <w:rsid w:val="00312A2D"/>
    <w:rsid w:val="00313F11"/>
    <w:rsid w:val="00316551"/>
    <w:rsid w:val="00317815"/>
    <w:rsid w:val="00324DF0"/>
    <w:rsid w:val="00325C07"/>
    <w:rsid w:val="00336A5B"/>
    <w:rsid w:val="0035201E"/>
    <w:rsid w:val="00356A7D"/>
    <w:rsid w:val="0035705B"/>
    <w:rsid w:val="003607AF"/>
    <w:rsid w:val="0037021E"/>
    <w:rsid w:val="003800ED"/>
    <w:rsid w:val="003907F8"/>
    <w:rsid w:val="003A241E"/>
    <w:rsid w:val="003A2ADB"/>
    <w:rsid w:val="003C43EF"/>
    <w:rsid w:val="003C6735"/>
    <w:rsid w:val="003D2893"/>
    <w:rsid w:val="003E21B6"/>
    <w:rsid w:val="003E4957"/>
    <w:rsid w:val="003F1E4C"/>
    <w:rsid w:val="003F6497"/>
    <w:rsid w:val="00402921"/>
    <w:rsid w:val="004231BE"/>
    <w:rsid w:val="004262EC"/>
    <w:rsid w:val="00436101"/>
    <w:rsid w:val="0044719C"/>
    <w:rsid w:val="004474F7"/>
    <w:rsid w:val="004557AE"/>
    <w:rsid w:val="0046148B"/>
    <w:rsid w:val="004657BC"/>
    <w:rsid w:val="004741C3"/>
    <w:rsid w:val="004866E2"/>
    <w:rsid w:val="004C4911"/>
    <w:rsid w:val="004C4F17"/>
    <w:rsid w:val="004C5553"/>
    <w:rsid w:val="004D1B92"/>
    <w:rsid w:val="004E2361"/>
    <w:rsid w:val="004E7CFB"/>
    <w:rsid w:val="004F1B7E"/>
    <w:rsid w:val="004F6051"/>
    <w:rsid w:val="004F69EA"/>
    <w:rsid w:val="00504262"/>
    <w:rsid w:val="005129DB"/>
    <w:rsid w:val="0052522C"/>
    <w:rsid w:val="00530160"/>
    <w:rsid w:val="00530ADC"/>
    <w:rsid w:val="005347D8"/>
    <w:rsid w:val="0054328A"/>
    <w:rsid w:val="005616CA"/>
    <w:rsid w:val="00566E05"/>
    <w:rsid w:val="005810F9"/>
    <w:rsid w:val="00596481"/>
    <w:rsid w:val="005A000D"/>
    <w:rsid w:val="005A381C"/>
    <w:rsid w:val="005C0E65"/>
    <w:rsid w:val="005C1B11"/>
    <w:rsid w:val="005D1DAB"/>
    <w:rsid w:val="005D2229"/>
    <w:rsid w:val="005D3831"/>
    <w:rsid w:val="005E1D1D"/>
    <w:rsid w:val="005E6930"/>
    <w:rsid w:val="005F2810"/>
    <w:rsid w:val="005F64B4"/>
    <w:rsid w:val="0061245C"/>
    <w:rsid w:val="00632A39"/>
    <w:rsid w:val="00644A73"/>
    <w:rsid w:val="00655F2B"/>
    <w:rsid w:val="00664AA2"/>
    <w:rsid w:val="00674853"/>
    <w:rsid w:val="006752C7"/>
    <w:rsid w:val="00677070"/>
    <w:rsid w:val="006802EC"/>
    <w:rsid w:val="00682986"/>
    <w:rsid w:val="006837CD"/>
    <w:rsid w:val="006843C1"/>
    <w:rsid w:val="0069420E"/>
    <w:rsid w:val="006A1355"/>
    <w:rsid w:val="006A753C"/>
    <w:rsid w:val="006A782F"/>
    <w:rsid w:val="006C17A6"/>
    <w:rsid w:val="006E4426"/>
    <w:rsid w:val="006E64F6"/>
    <w:rsid w:val="006E6A9B"/>
    <w:rsid w:val="006E7E40"/>
    <w:rsid w:val="006F5BD2"/>
    <w:rsid w:val="0070496A"/>
    <w:rsid w:val="007207C7"/>
    <w:rsid w:val="0074447C"/>
    <w:rsid w:val="007450C3"/>
    <w:rsid w:val="00760B98"/>
    <w:rsid w:val="007676D5"/>
    <w:rsid w:val="007776FA"/>
    <w:rsid w:val="007A1CC6"/>
    <w:rsid w:val="007B2945"/>
    <w:rsid w:val="007B50DA"/>
    <w:rsid w:val="007D5E44"/>
    <w:rsid w:val="007F54D8"/>
    <w:rsid w:val="007F71EA"/>
    <w:rsid w:val="008005D0"/>
    <w:rsid w:val="008167DA"/>
    <w:rsid w:val="008203B3"/>
    <w:rsid w:val="00826673"/>
    <w:rsid w:val="00831DC3"/>
    <w:rsid w:val="008325DF"/>
    <w:rsid w:val="008329A7"/>
    <w:rsid w:val="008369DF"/>
    <w:rsid w:val="00841CCC"/>
    <w:rsid w:val="008460C7"/>
    <w:rsid w:val="00851692"/>
    <w:rsid w:val="00852C9E"/>
    <w:rsid w:val="00893088"/>
    <w:rsid w:val="008B49DE"/>
    <w:rsid w:val="008C2095"/>
    <w:rsid w:val="008C3CC5"/>
    <w:rsid w:val="008D76F4"/>
    <w:rsid w:val="008E7878"/>
    <w:rsid w:val="008F3281"/>
    <w:rsid w:val="008F34B1"/>
    <w:rsid w:val="008F3F87"/>
    <w:rsid w:val="008F6446"/>
    <w:rsid w:val="00906F92"/>
    <w:rsid w:val="0091139A"/>
    <w:rsid w:val="009146EF"/>
    <w:rsid w:val="00922D0D"/>
    <w:rsid w:val="00927EA4"/>
    <w:rsid w:val="009367E5"/>
    <w:rsid w:val="009413F2"/>
    <w:rsid w:val="00955038"/>
    <w:rsid w:val="0098390E"/>
    <w:rsid w:val="00992B8E"/>
    <w:rsid w:val="00996995"/>
    <w:rsid w:val="009C146B"/>
    <w:rsid w:val="009C37FE"/>
    <w:rsid w:val="009D1436"/>
    <w:rsid w:val="00A068C9"/>
    <w:rsid w:val="00A249D5"/>
    <w:rsid w:val="00A32B14"/>
    <w:rsid w:val="00A33198"/>
    <w:rsid w:val="00A36F4A"/>
    <w:rsid w:val="00A46D5B"/>
    <w:rsid w:val="00A570DF"/>
    <w:rsid w:val="00A62AFC"/>
    <w:rsid w:val="00A671C8"/>
    <w:rsid w:val="00A85DFE"/>
    <w:rsid w:val="00A97723"/>
    <w:rsid w:val="00AA7E43"/>
    <w:rsid w:val="00AC10F4"/>
    <w:rsid w:val="00AC5C50"/>
    <w:rsid w:val="00AD13D2"/>
    <w:rsid w:val="00B0660A"/>
    <w:rsid w:val="00B2115D"/>
    <w:rsid w:val="00B258D5"/>
    <w:rsid w:val="00B31186"/>
    <w:rsid w:val="00B40AB9"/>
    <w:rsid w:val="00B65C69"/>
    <w:rsid w:val="00B75AEE"/>
    <w:rsid w:val="00B75F6C"/>
    <w:rsid w:val="00B92007"/>
    <w:rsid w:val="00B959A1"/>
    <w:rsid w:val="00BA68E8"/>
    <w:rsid w:val="00BB45E2"/>
    <w:rsid w:val="00BD1026"/>
    <w:rsid w:val="00BD51FA"/>
    <w:rsid w:val="00BF2180"/>
    <w:rsid w:val="00BF2780"/>
    <w:rsid w:val="00BF5ECD"/>
    <w:rsid w:val="00BF7A8D"/>
    <w:rsid w:val="00C15A44"/>
    <w:rsid w:val="00C241DE"/>
    <w:rsid w:val="00C26FB2"/>
    <w:rsid w:val="00C46275"/>
    <w:rsid w:val="00C628EE"/>
    <w:rsid w:val="00C73EFF"/>
    <w:rsid w:val="00C77E2F"/>
    <w:rsid w:val="00C85879"/>
    <w:rsid w:val="00C86FB4"/>
    <w:rsid w:val="00C95EB5"/>
    <w:rsid w:val="00CB6A3F"/>
    <w:rsid w:val="00CC01C2"/>
    <w:rsid w:val="00CC0310"/>
    <w:rsid w:val="00CC047B"/>
    <w:rsid w:val="00CC059E"/>
    <w:rsid w:val="00CD0E0E"/>
    <w:rsid w:val="00CD7411"/>
    <w:rsid w:val="00CE2103"/>
    <w:rsid w:val="00CE22F9"/>
    <w:rsid w:val="00CF6721"/>
    <w:rsid w:val="00D1153D"/>
    <w:rsid w:val="00D133A8"/>
    <w:rsid w:val="00D15C48"/>
    <w:rsid w:val="00D27360"/>
    <w:rsid w:val="00D40958"/>
    <w:rsid w:val="00D41B76"/>
    <w:rsid w:val="00D60356"/>
    <w:rsid w:val="00D640DC"/>
    <w:rsid w:val="00D77DE7"/>
    <w:rsid w:val="00D809D3"/>
    <w:rsid w:val="00D859E0"/>
    <w:rsid w:val="00DA4BC9"/>
    <w:rsid w:val="00DB1DE0"/>
    <w:rsid w:val="00DB60B7"/>
    <w:rsid w:val="00DB6354"/>
    <w:rsid w:val="00DC21D0"/>
    <w:rsid w:val="00DD444C"/>
    <w:rsid w:val="00DD680B"/>
    <w:rsid w:val="00DF5EA8"/>
    <w:rsid w:val="00E13273"/>
    <w:rsid w:val="00E361B8"/>
    <w:rsid w:val="00E442A3"/>
    <w:rsid w:val="00E50537"/>
    <w:rsid w:val="00E5200B"/>
    <w:rsid w:val="00E54FB1"/>
    <w:rsid w:val="00E57437"/>
    <w:rsid w:val="00E755F9"/>
    <w:rsid w:val="00E763A9"/>
    <w:rsid w:val="00E85306"/>
    <w:rsid w:val="00E92E28"/>
    <w:rsid w:val="00EA1D5F"/>
    <w:rsid w:val="00EA31FE"/>
    <w:rsid w:val="00EA5D31"/>
    <w:rsid w:val="00EB3DB2"/>
    <w:rsid w:val="00EB760B"/>
    <w:rsid w:val="00EE5068"/>
    <w:rsid w:val="00EE7D5C"/>
    <w:rsid w:val="00EF1DAE"/>
    <w:rsid w:val="00EF5DFE"/>
    <w:rsid w:val="00F0619A"/>
    <w:rsid w:val="00F07C1B"/>
    <w:rsid w:val="00F138B6"/>
    <w:rsid w:val="00F177D0"/>
    <w:rsid w:val="00F4126F"/>
    <w:rsid w:val="00F427D5"/>
    <w:rsid w:val="00F51ABB"/>
    <w:rsid w:val="00F53E42"/>
    <w:rsid w:val="00F6044F"/>
    <w:rsid w:val="00F61173"/>
    <w:rsid w:val="00F61B30"/>
    <w:rsid w:val="00F7403B"/>
    <w:rsid w:val="00F741D4"/>
    <w:rsid w:val="00F871F6"/>
    <w:rsid w:val="00FC021B"/>
    <w:rsid w:val="00FC1E95"/>
    <w:rsid w:val="00FC4B26"/>
    <w:rsid w:val="00FC5F52"/>
    <w:rsid w:val="00FE2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F7B9"/>
  <w15:chartTrackingRefBased/>
  <w15:docId w15:val="{C02A17A6-B0A6-46D2-B041-46991DA2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5DF"/>
    <w:pPr>
      <w:spacing w:after="5" w:line="249" w:lineRule="auto"/>
      <w:ind w:left="10" w:hanging="10"/>
    </w:pPr>
    <w:rPr>
      <w:rFonts w:ascii="Arial" w:eastAsia="Arial" w:hAnsi="Arial" w:cs="Arial"/>
      <w:color w:val="000000"/>
      <w:sz w:val="22"/>
    </w:rPr>
  </w:style>
  <w:style w:type="paragraph" w:styleId="Heading1">
    <w:name w:val="heading 1"/>
    <w:basedOn w:val="Normal"/>
    <w:next w:val="Normal"/>
    <w:link w:val="Heading1Char"/>
    <w:uiPriority w:val="9"/>
    <w:qFormat/>
    <w:rsid w:val="008325DF"/>
    <w:pPr>
      <w:keepNext/>
      <w:keepLines/>
      <w:spacing w:before="360" w:after="80" w:line="278" w:lineRule="auto"/>
      <w:ind w:left="0" w:firstLine="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5DF"/>
    <w:pPr>
      <w:keepNext/>
      <w:keepLines/>
      <w:spacing w:before="160" w:after="80" w:line="278" w:lineRule="auto"/>
      <w:ind w:left="0" w:firstLine="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5DF"/>
    <w:pPr>
      <w:keepNext/>
      <w:keepLines/>
      <w:spacing w:before="160" w:after="80" w:line="278" w:lineRule="auto"/>
      <w:ind w:left="0" w:firstLine="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5DF"/>
    <w:pPr>
      <w:keepNext/>
      <w:keepLines/>
      <w:spacing w:before="80" w:after="40" w:line="278" w:lineRule="auto"/>
      <w:ind w:left="0" w:firstLine="0"/>
      <w:outlineLvl w:val="3"/>
    </w:pPr>
    <w:rPr>
      <w:rFonts w:asciiTheme="minorHAnsi" w:eastAsiaTheme="majorEastAsia" w:hAnsiTheme="minorHAnsi" w:cstheme="majorBidi"/>
      <w:i/>
      <w:iCs/>
      <w:color w:val="0F4761" w:themeColor="accent1" w:themeShade="BF"/>
      <w:sz w:val="24"/>
    </w:rPr>
  </w:style>
  <w:style w:type="paragraph" w:styleId="Heading5">
    <w:name w:val="heading 5"/>
    <w:basedOn w:val="Normal"/>
    <w:next w:val="Normal"/>
    <w:link w:val="Heading5Char"/>
    <w:uiPriority w:val="9"/>
    <w:semiHidden/>
    <w:unhideWhenUsed/>
    <w:qFormat/>
    <w:rsid w:val="008325DF"/>
    <w:pPr>
      <w:keepNext/>
      <w:keepLines/>
      <w:spacing w:before="80" w:after="40" w:line="278" w:lineRule="auto"/>
      <w:ind w:left="0" w:firstLine="0"/>
      <w:outlineLvl w:val="4"/>
    </w:pPr>
    <w:rPr>
      <w:rFonts w:asciiTheme="minorHAnsi" w:eastAsiaTheme="majorEastAsia" w:hAnsiTheme="minorHAnsi" w:cstheme="majorBidi"/>
      <w:color w:val="0F4761" w:themeColor="accent1" w:themeShade="BF"/>
      <w:sz w:val="24"/>
    </w:rPr>
  </w:style>
  <w:style w:type="paragraph" w:styleId="Heading6">
    <w:name w:val="heading 6"/>
    <w:basedOn w:val="Normal"/>
    <w:next w:val="Normal"/>
    <w:link w:val="Heading6Char"/>
    <w:uiPriority w:val="9"/>
    <w:semiHidden/>
    <w:unhideWhenUsed/>
    <w:qFormat/>
    <w:rsid w:val="008325DF"/>
    <w:pPr>
      <w:keepNext/>
      <w:keepLines/>
      <w:spacing w:before="40" w:after="0" w:line="278" w:lineRule="auto"/>
      <w:ind w:left="0" w:firstLine="0"/>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8325DF"/>
    <w:pPr>
      <w:keepNext/>
      <w:keepLines/>
      <w:spacing w:before="40" w:after="0" w:line="278" w:lineRule="auto"/>
      <w:ind w:left="0" w:firstLine="0"/>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8325DF"/>
    <w:pPr>
      <w:keepNext/>
      <w:keepLines/>
      <w:spacing w:after="0" w:line="278" w:lineRule="auto"/>
      <w:ind w:left="0" w:firstLine="0"/>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8325DF"/>
    <w:pPr>
      <w:keepNext/>
      <w:keepLines/>
      <w:spacing w:after="0" w:line="278" w:lineRule="auto"/>
      <w:ind w:left="0" w:firstLine="0"/>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5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5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5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5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5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5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5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5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5DF"/>
    <w:rPr>
      <w:rFonts w:eastAsiaTheme="majorEastAsia" w:cstheme="majorBidi"/>
      <w:color w:val="272727" w:themeColor="text1" w:themeTint="D8"/>
    </w:rPr>
  </w:style>
  <w:style w:type="paragraph" w:styleId="Title">
    <w:name w:val="Title"/>
    <w:basedOn w:val="Normal"/>
    <w:next w:val="Normal"/>
    <w:link w:val="TitleChar"/>
    <w:uiPriority w:val="10"/>
    <w:qFormat/>
    <w:rsid w:val="008325DF"/>
    <w:pPr>
      <w:spacing w:after="80" w:line="240" w:lineRule="auto"/>
      <w:ind w:left="0" w:firstLine="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325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5DF"/>
    <w:pPr>
      <w:numPr>
        <w:ilvl w:val="1"/>
      </w:numPr>
      <w:spacing w:after="160" w:line="278" w:lineRule="auto"/>
      <w:ind w:left="10"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5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5DF"/>
    <w:pPr>
      <w:spacing w:before="160" w:after="160" w:line="278" w:lineRule="auto"/>
      <w:ind w:left="0" w:firstLine="0"/>
      <w:jc w:val="center"/>
    </w:pPr>
    <w:rPr>
      <w:rFonts w:asciiTheme="minorHAnsi" w:eastAsiaTheme="minorHAnsi" w:hAnsiTheme="minorHAnsi" w:cstheme="minorBidi"/>
      <w:i/>
      <w:iCs/>
      <w:color w:val="404040" w:themeColor="text1" w:themeTint="BF"/>
      <w:sz w:val="24"/>
    </w:rPr>
  </w:style>
  <w:style w:type="character" w:customStyle="1" w:styleId="QuoteChar">
    <w:name w:val="Quote Char"/>
    <w:basedOn w:val="DefaultParagraphFont"/>
    <w:link w:val="Quote"/>
    <w:uiPriority w:val="29"/>
    <w:rsid w:val="008325DF"/>
    <w:rPr>
      <w:i/>
      <w:iCs/>
      <w:color w:val="404040" w:themeColor="text1" w:themeTint="BF"/>
    </w:rPr>
  </w:style>
  <w:style w:type="paragraph" w:styleId="ListParagraph">
    <w:name w:val="List Paragraph"/>
    <w:basedOn w:val="Normal"/>
    <w:uiPriority w:val="34"/>
    <w:qFormat/>
    <w:rsid w:val="008325DF"/>
    <w:pPr>
      <w:spacing w:after="160" w:line="278" w:lineRule="auto"/>
      <w:ind w:left="720" w:firstLine="0"/>
      <w:contextualSpacing/>
    </w:pPr>
    <w:rPr>
      <w:rFonts w:asciiTheme="minorHAnsi" w:eastAsiaTheme="minorHAnsi" w:hAnsiTheme="minorHAnsi" w:cstheme="minorBidi"/>
      <w:color w:val="auto"/>
      <w:sz w:val="24"/>
    </w:rPr>
  </w:style>
  <w:style w:type="character" w:styleId="IntenseEmphasis">
    <w:name w:val="Intense Emphasis"/>
    <w:basedOn w:val="DefaultParagraphFont"/>
    <w:uiPriority w:val="21"/>
    <w:qFormat/>
    <w:rsid w:val="008325DF"/>
    <w:rPr>
      <w:i/>
      <w:iCs/>
      <w:color w:val="0F4761" w:themeColor="accent1" w:themeShade="BF"/>
    </w:rPr>
  </w:style>
  <w:style w:type="paragraph" w:styleId="IntenseQuote">
    <w:name w:val="Intense Quote"/>
    <w:basedOn w:val="Normal"/>
    <w:next w:val="Normal"/>
    <w:link w:val="IntenseQuoteChar"/>
    <w:uiPriority w:val="30"/>
    <w:qFormat/>
    <w:rsid w:val="008325DF"/>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sz w:val="24"/>
    </w:rPr>
  </w:style>
  <w:style w:type="character" w:customStyle="1" w:styleId="IntenseQuoteChar">
    <w:name w:val="Intense Quote Char"/>
    <w:basedOn w:val="DefaultParagraphFont"/>
    <w:link w:val="IntenseQuote"/>
    <w:uiPriority w:val="30"/>
    <w:rsid w:val="008325DF"/>
    <w:rPr>
      <w:i/>
      <w:iCs/>
      <w:color w:val="0F4761" w:themeColor="accent1" w:themeShade="BF"/>
    </w:rPr>
  </w:style>
  <w:style w:type="character" w:styleId="IntenseReference">
    <w:name w:val="Intense Reference"/>
    <w:basedOn w:val="DefaultParagraphFont"/>
    <w:uiPriority w:val="32"/>
    <w:qFormat/>
    <w:rsid w:val="008325DF"/>
    <w:rPr>
      <w:b/>
      <w:bCs/>
      <w:smallCaps/>
      <w:color w:val="0F4761" w:themeColor="accent1" w:themeShade="BF"/>
      <w:spacing w:val="5"/>
    </w:rPr>
  </w:style>
  <w:style w:type="table" w:customStyle="1" w:styleId="TableGrid1">
    <w:name w:val="Table Grid1"/>
    <w:rsid w:val="008325DF"/>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7F54D8"/>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23405">
      <w:bodyDiv w:val="1"/>
      <w:marLeft w:val="0"/>
      <w:marRight w:val="0"/>
      <w:marTop w:val="0"/>
      <w:marBottom w:val="0"/>
      <w:divBdr>
        <w:top w:val="none" w:sz="0" w:space="0" w:color="auto"/>
        <w:left w:val="none" w:sz="0" w:space="0" w:color="auto"/>
        <w:bottom w:val="none" w:sz="0" w:space="0" w:color="auto"/>
        <w:right w:val="none" w:sz="0" w:space="0" w:color="auto"/>
      </w:divBdr>
    </w:div>
    <w:div w:id="417600943">
      <w:bodyDiv w:val="1"/>
      <w:marLeft w:val="0"/>
      <w:marRight w:val="0"/>
      <w:marTop w:val="0"/>
      <w:marBottom w:val="0"/>
      <w:divBdr>
        <w:top w:val="none" w:sz="0" w:space="0" w:color="auto"/>
        <w:left w:val="none" w:sz="0" w:space="0" w:color="auto"/>
        <w:bottom w:val="none" w:sz="0" w:space="0" w:color="auto"/>
        <w:right w:val="none" w:sz="0" w:space="0" w:color="auto"/>
      </w:divBdr>
    </w:div>
    <w:div w:id="506793844">
      <w:bodyDiv w:val="1"/>
      <w:marLeft w:val="0"/>
      <w:marRight w:val="0"/>
      <w:marTop w:val="0"/>
      <w:marBottom w:val="0"/>
      <w:divBdr>
        <w:top w:val="none" w:sz="0" w:space="0" w:color="auto"/>
        <w:left w:val="none" w:sz="0" w:space="0" w:color="auto"/>
        <w:bottom w:val="none" w:sz="0" w:space="0" w:color="auto"/>
        <w:right w:val="none" w:sz="0" w:space="0" w:color="auto"/>
      </w:divBdr>
    </w:div>
    <w:div w:id="801505459">
      <w:bodyDiv w:val="1"/>
      <w:marLeft w:val="0"/>
      <w:marRight w:val="0"/>
      <w:marTop w:val="0"/>
      <w:marBottom w:val="0"/>
      <w:divBdr>
        <w:top w:val="none" w:sz="0" w:space="0" w:color="auto"/>
        <w:left w:val="none" w:sz="0" w:space="0" w:color="auto"/>
        <w:bottom w:val="none" w:sz="0" w:space="0" w:color="auto"/>
        <w:right w:val="none" w:sz="0" w:space="0" w:color="auto"/>
      </w:divBdr>
    </w:div>
    <w:div w:id="85638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6D7E3-8CB1-4572-80AF-31CA8126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5</Pages>
  <Words>1464</Words>
  <Characters>8346</Characters>
  <Application>Microsoft Office Word</Application>
  <DocSecurity>0</DocSecurity>
  <Lines>69</Lines>
  <Paragraphs>19</Paragraphs>
  <ScaleCrop>false</ScaleCrop>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Mikaila Flagg</dc:creator>
  <cp:keywords/>
  <dc:description/>
  <cp:lastModifiedBy>Mikaila Flagg</cp:lastModifiedBy>
  <cp:revision>293</cp:revision>
  <cp:lastPrinted>2024-07-09T16:08:00Z</cp:lastPrinted>
  <dcterms:created xsi:type="dcterms:W3CDTF">2024-06-21T16:57:00Z</dcterms:created>
  <dcterms:modified xsi:type="dcterms:W3CDTF">2024-07-09T16:08:00Z</dcterms:modified>
</cp:coreProperties>
</file>