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65DBD" w14:textId="7F930243" w:rsidR="00145B3D" w:rsidRDefault="00145B3D" w:rsidP="002A552E">
      <w:pPr>
        <w:jc w:val="right"/>
        <w:rPr>
          <w:rFonts w:ascii="Arial" w:hAnsi="Arial" w:cs="Arial"/>
          <w:b/>
          <w:color w:val="1A3866"/>
          <w:sz w:val="28"/>
          <w:szCs w:val="32"/>
        </w:rPr>
      </w:pPr>
      <w:r w:rsidRPr="00E106D4">
        <w:rPr>
          <w:rFonts w:ascii="Arial" w:hAnsi="Arial" w:cs="Arial"/>
          <w:noProof/>
        </w:rPr>
        <w:drawing>
          <wp:anchor distT="0" distB="0" distL="114300" distR="114300" simplePos="0" relativeHeight="251659264" behindDoc="1" locked="0" layoutInCell="1" allowOverlap="1" wp14:anchorId="45030D3E" wp14:editId="094854C7">
            <wp:simplePos x="0" y="0"/>
            <wp:positionH relativeFrom="margin">
              <wp:align>left</wp:align>
            </wp:positionH>
            <wp:positionV relativeFrom="margin">
              <wp:align>top</wp:align>
            </wp:positionV>
            <wp:extent cx="2356186" cy="733425"/>
            <wp:effectExtent l="0" t="0" r="6350" b="0"/>
            <wp:wrapNone/>
            <wp:docPr id="1" name="Picture 1" descr="Z:\Communications\Art and Images\LOGOS\2018_NGAUS Logo\Logo\NGAUS 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Art and Images\LOGOS\2018_NGAUS Logo\Logo\NGAUS logo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6996" cy="733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5950C" w14:textId="513B5754" w:rsidR="002A552E" w:rsidRPr="00C9510E" w:rsidRDefault="00DA0C41" w:rsidP="002A552E">
      <w:pPr>
        <w:jc w:val="right"/>
        <w:rPr>
          <w:rFonts w:ascii="Arial" w:hAnsi="Arial" w:cs="Arial"/>
          <w:b/>
          <w:color w:val="1A3866"/>
          <w:sz w:val="28"/>
          <w:szCs w:val="32"/>
        </w:rPr>
      </w:pPr>
      <w:r>
        <w:rPr>
          <w:rFonts w:ascii="Arial" w:hAnsi="Arial" w:cs="Arial"/>
          <w:b/>
          <w:color w:val="1A3866"/>
          <w:sz w:val="28"/>
          <w:szCs w:val="32"/>
        </w:rPr>
        <w:t>FY24 NDAA Full Conference Report</w:t>
      </w:r>
    </w:p>
    <w:p w14:paraId="5E53A6FA" w14:textId="2DDAC940" w:rsidR="002A552E" w:rsidRDefault="002A552E" w:rsidP="002A552E">
      <w:pPr>
        <w:ind w:left="3600" w:firstLine="720"/>
        <w:jc w:val="right"/>
        <w:rPr>
          <w:rFonts w:ascii="Arial" w:hAnsi="Arial" w:cs="Arial"/>
          <w:b/>
          <w:color w:val="1A3866"/>
          <w:sz w:val="28"/>
          <w:szCs w:val="32"/>
        </w:rPr>
      </w:pPr>
      <w:r>
        <w:rPr>
          <w:rFonts w:ascii="Arial" w:hAnsi="Arial" w:cs="Arial"/>
          <w:b/>
          <w:color w:val="1A3866"/>
          <w:sz w:val="28"/>
          <w:szCs w:val="32"/>
        </w:rPr>
        <w:t>Memorandum</w:t>
      </w:r>
      <w:r w:rsidRPr="00C9510E">
        <w:rPr>
          <w:rFonts w:ascii="Arial" w:hAnsi="Arial" w:cs="Arial"/>
          <w:b/>
          <w:color w:val="1A3866"/>
          <w:sz w:val="28"/>
          <w:szCs w:val="32"/>
        </w:rPr>
        <w:t xml:space="preserve"> | </w:t>
      </w:r>
      <w:r w:rsidR="00337396">
        <w:rPr>
          <w:rFonts w:ascii="Arial" w:hAnsi="Arial" w:cs="Arial"/>
          <w:b/>
          <w:color w:val="1A3866"/>
          <w:sz w:val="28"/>
          <w:szCs w:val="32"/>
        </w:rPr>
        <w:t>14 December</w:t>
      </w:r>
      <w:r w:rsidR="0049282F">
        <w:rPr>
          <w:rFonts w:ascii="Arial" w:hAnsi="Arial" w:cs="Arial"/>
          <w:b/>
          <w:color w:val="1A3866"/>
          <w:sz w:val="28"/>
          <w:szCs w:val="32"/>
        </w:rPr>
        <w:t xml:space="preserve"> 2023</w:t>
      </w:r>
    </w:p>
    <w:p w14:paraId="56FF778E" w14:textId="77777777" w:rsidR="001C41C7" w:rsidRPr="00DB66E2" w:rsidRDefault="001C41C7" w:rsidP="00A75FAE">
      <w:pPr>
        <w:jc w:val="both"/>
        <w:rPr>
          <w:rFonts w:ascii="Arial" w:hAnsi="Arial" w:cs="Arial"/>
        </w:rPr>
      </w:pPr>
    </w:p>
    <w:p w14:paraId="1ADA4C3E" w14:textId="77777777" w:rsidR="00591004" w:rsidRPr="007A4F52" w:rsidRDefault="00591004" w:rsidP="00B47860">
      <w:pPr>
        <w:jc w:val="both"/>
        <w:rPr>
          <w:rFonts w:ascii="Arial" w:hAnsi="Arial" w:cs="Arial"/>
        </w:rPr>
      </w:pPr>
    </w:p>
    <w:p w14:paraId="1C1BB470" w14:textId="3C2D54C1" w:rsidR="00AE1A27" w:rsidRDefault="001C41C7" w:rsidP="00B067D1">
      <w:pPr>
        <w:rPr>
          <w:rFonts w:ascii="Arial" w:hAnsi="Arial" w:cs="Arial"/>
        </w:rPr>
      </w:pPr>
      <w:r w:rsidRPr="005E2327">
        <w:rPr>
          <w:rFonts w:ascii="Arial" w:hAnsi="Arial" w:cs="Arial"/>
          <w:b/>
          <w:bCs/>
          <w:color w:val="1A3866"/>
        </w:rPr>
        <w:t>B</w:t>
      </w:r>
      <w:r w:rsidR="002428E4" w:rsidRPr="005E2327">
        <w:rPr>
          <w:rFonts w:ascii="Arial" w:hAnsi="Arial" w:cs="Arial"/>
          <w:b/>
          <w:bCs/>
          <w:color w:val="1A3866"/>
        </w:rPr>
        <w:t>LUF:</w:t>
      </w:r>
      <w:r w:rsidR="002428E4" w:rsidRPr="005E2327">
        <w:rPr>
          <w:rFonts w:ascii="Arial" w:hAnsi="Arial" w:cs="Arial"/>
        </w:rPr>
        <w:t xml:space="preserve"> </w:t>
      </w:r>
      <w:r w:rsidR="000748C3">
        <w:rPr>
          <w:rFonts w:ascii="Arial" w:hAnsi="Arial" w:cs="Arial"/>
        </w:rPr>
        <w:t>The FY24 NDAA Conference Committee released its report on December 6, 2023.</w:t>
      </w:r>
      <w:r w:rsidR="004A7371">
        <w:rPr>
          <w:rFonts w:ascii="Arial" w:hAnsi="Arial" w:cs="Arial"/>
        </w:rPr>
        <w:t xml:space="preserve"> The Senate </w:t>
      </w:r>
      <w:r w:rsidR="005001BC">
        <w:rPr>
          <w:rFonts w:ascii="Arial" w:hAnsi="Arial" w:cs="Arial"/>
        </w:rPr>
        <w:t xml:space="preserve">voted and approved the </w:t>
      </w:r>
      <w:r w:rsidR="00A53E3B">
        <w:rPr>
          <w:rFonts w:ascii="Arial" w:hAnsi="Arial" w:cs="Arial"/>
        </w:rPr>
        <w:t>conference report</w:t>
      </w:r>
      <w:r w:rsidR="005001BC">
        <w:rPr>
          <w:rFonts w:ascii="Arial" w:hAnsi="Arial" w:cs="Arial"/>
        </w:rPr>
        <w:t xml:space="preserve">, 87-13, on December 13, 2023. The House voted and approved the </w:t>
      </w:r>
      <w:r w:rsidR="00A53E3B">
        <w:rPr>
          <w:rFonts w:ascii="Arial" w:hAnsi="Arial" w:cs="Arial"/>
        </w:rPr>
        <w:t>conference report</w:t>
      </w:r>
      <w:r w:rsidR="005001BC">
        <w:rPr>
          <w:rFonts w:ascii="Arial" w:hAnsi="Arial" w:cs="Arial"/>
        </w:rPr>
        <w:t xml:space="preserve">, </w:t>
      </w:r>
      <w:r w:rsidR="00A53E3B">
        <w:rPr>
          <w:rFonts w:ascii="Arial" w:hAnsi="Arial" w:cs="Arial"/>
        </w:rPr>
        <w:t>310</w:t>
      </w:r>
      <w:r w:rsidR="005001BC">
        <w:rPr>
          <w:rFonts w:ascii="Arial" w:hAnsi="Arial" w:cs="Arial"/>
        </w:rPr>
        <w:t>-</w:t>
      </w:r>
      <w:r w:rsidR="00A53E3B">
        <w:rPr>
          <w:rFonts w:ascii="Arial" w:hAnsi="Arial" w:cs="Arial"/>
        </w:rPr>
        <w:t>118</w:t>
      </w:r>
      <w:r w:rsidR="005001BC">
        <w:rPr>
          <w:rFonts w:ascii="Arial" w:hAnsi="Arial" w:cs="Arial"/>
        </w:rPr>
        <w:t>.</w:t>
      </w:r>
    </w:p>
    <w:p w14:paraId="0AA34C2A" w14:textId="671EBE7D" w:rsidR="00352DDD" w:rsidRDefault="00E323EB" w:rsidP="00EC0508">
      <w:pPr>
        <w:rPr>
          <w:rFonts w:ascii="Arial" w:hAnsi="Arial" w:cs="Arial"/>
        </w:rPr>
      </w:pPr>
      <w:r w:rsidRPr="005E2327">
        <w:rPr>
          <w:rFonts w:ascii="Arial" w:hAnsi="Arial" w:cs="Arial"/>
          <w:b/>
          <w:bCs/>
        </w:rPr>
        <w:t>Next Step:</w:t>
      </w:r>
      <w:r w:rsidRPr="005E2327">
        <w:rPr>
          <w:rFonts w:ascii="Arial" w:hAnsi="Arial" w:cs="Arial"/>
        </w:rPr>
        <w:t xml:space="preserve"> </w:t>
      </w:r>
      <w:r w:rsidR="005001BC">
        <w:rPr>
          <w:rFonts w:ascii="Arial" w:hAnsi="Arial" w:cs="Arial"/>
        </w:rPr>
        <w:t>The bill was sent to the President for signature on December 14, 2023</w:t>
      </w:r>
      <w:r w:rsidR="00E24B7B">
        <w:rPr>
          <w:rFonts w:ascii="Arial" w:hAnsi="Arial" w:cs="Arial"/>
        </w:rPr>
        <w:t xml:space="preserve">. </w:t>
      </w:r>
    </w:p>
    <w:p w14:paraId="60272F31" w14:textId="77777777" w:rsidR="00660825" w:rsidRDefault="00660825" w:rsidP="007752CD">
      <w:pPr>
        <w:jc w:val="both"/>
        <w:rPr>
          <w:rFonts w:ascii="Arial" w:hAnsi="Arial" w:cs="Arial"/>
        </w:rPr>
      </w:pPr>
    </w:p>
    <w:p w14:paraId="5A4A51D3" w14:textId="77777777" w:rsidR="00C9506B" w:rsidRPr="00BF00EC" w:rsidRDefault="00C9506B" w:rsidP="00C9506B">
      <w:pPr>
        <w:jc w:val="both"/>
        <w:rPr>
          <w:rFonts w:ascii="Arial" w:hAnsi="Arial" w:cs="Arial"/>
          <w:b/>
          <w:color w:val="1A3866"/>
          <w:sz w:val="20"/>
          <w:szCs w:val="21"/>
        </w:rPr>
      </w:pPr>
      <w:r w:rsidRPr="00BF00EC">
        <w:rPr>
          <w:rFonts w:ascii="Arial" w:hAnsi="Arial" w:cs="Arial"/>
          <w:b/>
          <w:color w:val="1A3866"/>
          <w:sz w:val="20"/>
          <w:szCs w:val="21"/>
        </w:rPr>
        <w:t>Defense Authorizations</w:t>
      </w:r>
    </w:p>
    <w:tbl>
      <w:tblPr>
        <w:tblW w:w="5000" w:type="pct"/>
        <w:tblLook w:val="04A0" w:firstRow="1" w:lastRow="0" w:firstColumn="1" w:lastColumn="0" w:noHBand="0" w:noVBand="1"/>
      </w:tblPr>
      <w:tblGrid>
        <w:gridCol w:w="1338"/>
        <w:gridCol w:w="1337"/>
        <w:gridCol w:w="1337"/>
        <w:gridCol w:w="1337"/>
        <w:gridCol w:w="1337"/>
        <w:gridCol w:w="1337"/>
        <w:gridCol w:w="1337"/>
      </w:tblGrid>
      <w:tr w:rsidR="00C9506B" w:rsidRPr="0009165E" w14:paraId="26969C83" w14:textId="77777777" w:rsidTr="001A5F58">
        <w:trPr>
          <w:trHeight w:val="402"/>
        </w:trPr>
        <w:tc>
          <w:tcPr>
            <w:tcW w:w="715" w:type="pct"/>
            <w:tcBorders>
              <w:top w:val="single" w:sz="4" w:space="0" w:color="auto"/>
              <w:left w:val="nil"/>
              <w:bottom w:val="single" w:sz="4" w:space="0" w:color="auto"/>
              <w:right w:val="nil"/>
            </w:tcBorders>
          </w:tcPr>
          <w:p w14:paraId="7032027C" w14:textId="77777777" w:rsidR="00C9506B" w:rsidRPr="0009165E" w:rsidRDefault="00C9506B" w:rsidP="001A5F58">
            <w:pPr>
              <w:jc w:val="center"/>
              <w:rPr>
                <w:rFonts w:ascii="Arial" w:eastAsia="Times New Roman" w:hAnsi="Arial" w:cs="Arial"/>
                <w:b/>
                <w:bCs/>
                <w:sz w:val="16"/>
                <w:szCs w:val="14"/>
              </w:rPr>
            </w:pPr>
            <w:r>
              <w:rPr>
                <w:rFonts w:ascii="Arial" w:eastAsia="Times New Roman" w:hAnsi="Arial" w:cs="Arial"/>
                <w:b/>
                <w:bCs/>
                <w:sz w:val="16"/>
                <w:szCs w:val="14"/>
              </w:rPr>
              <w:t>President’s Budget Release</w:t>
            </w:r>
          </w:p>
        </w:tc>
        <w:tc>
          <w:tcPr>
            <w:tcW w:w="714" w:type="pct"/>
            <w:tcBorders>
              <w:top w:val="single" w:sz="4" w:space="0" w:color="auto"/>
              <w:left w:val="nil"/>
              <w:bottom w:val="single" w:sz="4" w:space="0" w:color="auto"/>
              <w:right w:val="nil"/>
            </w:tcBorders>
            <w:shd w:val="clear" w:color="auto" w:fill="auto"/>
            <w:vAlign w:val="center"/>
            <w:hideMark/>
          </w:tcPr>
          <w:p w14:paraId="49965265" w14:textId="77777777" w:rsidR="00C9506B" w:rsidRDefault="00C9506B" w:rsidP="001A5F58">
            <w:pPr>
              <w:jc w:val="center"/>
              <w:rPr>
                <w:rFonts w:ascii="Arial" w:eastAsia="Times New Roman" w:hAnsi="Arial" w:cs="Arial"/>
                <w:b/>
                <w:bCs/>
                <w:sz w:val="16"/>
                <w:szCs w:val="14"/>
              </w:rPr>
            </w:pPr>
            <w:r w:rsidRPr="0009165E">
              <w:rPr>
                <w:rFonts w:ascii="Arial" w:eastAsia="Times New Roman" w:hAnsi="Arial" w:cs="Arial"/>
                <w:b/>
                <w:bCs/>
                <w:sz w:val="16"/>
                <w:szCs w:val="14"/>
              </w:rPr>
              <w:t>House Committee</w:t>
            </w:r>
          </w:p>
          <w:p w14:paraId="0B28E37D" w14:textId="77777777" w:rsidR="00C9506B" w:rsidRDefault="00C9506B" w:rsidP="001A5F58">
            <w:pPr>
              <w:jc w:val="center"/>
              <w:rPr>
                <w:rFonts w:ascii="Arial" w:eastAsia="Times New Roman" w:hAnsi="Arial" w:cs="Arial"/>
                <w:b/>
                <w:bCs/>
                <w:sz w:val="16"/>
                <w:szCs w:val="14"/>
              </w:rPr>
            </w:pPr>
            <w:r w:rsidRPr="0009165E">
              <w:rPr>
                <w:rFonts w:ascii="Arial" w:eastAsia="Times New Roman" w:hAnsi="Arial" w:cs="Arial"/>
                <w:b/>
                <w:bCs/>
                <w:sz w:val="16"/>
                <w:szCs w:val="14"/>
              </w:rPr>
              <w:t>NDAA</w:t>
            </w:r>
          </w:p>
          <w:p w14:paraId="26E3D691" w14:textId="15289EA0" w:rsidR="00145B3D" w:rsidRPr="0009165E" w:rsidRDefault="00145B3D" w:rsidP="001A5F58">
            <w:pPr>
              <w:jc w:val="center"/>
              <w:rPr>
                <w:rFonts w:ascii="Arial" w:eastAsia="Times New Roman" w:hAnsi="Arial" w:cs="Arial"/>
                <w:b/>
                <w:bCs/>
                <w:sz w:val="16"/>
                <w:szCs w:val="14"/>
              </w:rPr>
            </w:pPr>
            <w:r>
              <w:rPr>
                <w:rFonts w:ascii="Arial" w:eastAsia="Times New Roman" w:hAnsi="Arial" w:cs="Arial"/>
                <w:b/>
                <w:bCs/>
                <w:sz w:val="16"/>
                <w:szCs w:val="14"/>
              </w:rPr>
              <w:t>(HASC)</w:t>
            </w:r>
          </w:p>
        </w:tc>
        <w:tc>
          <w:tcPr>
            <w:tcW w:w="714" w:type="pct"/>
            <w:tcBorders>
              <w:top w:val="single" w:sz="4" w:space="0" w:color="auto"/>
              <w:left w:val="nil"/>
              <w:bottom w:val="single" w:sz="4" w:space="0" w:color="auto"/>
              <w:right w:val="nil"/>
            </w:tcBorders>
            <w:shd w:val="clear" w:color="auto" w:fill="auto"/>
            <w:vAlign w:val="center"/>
            <w:hideMark/>
          </w:tcPr>
          <w:p w14:paraId="505F0066" w14:textId="77777777" w:rsidR="00145B3D" w:rsidRDefault="00145B3D" w:rsidP="00145B3D">
            <w:pPr>
              <w:jc w:val="center"/>
              <w:rPr>
                <w:rFonts w:ascii="Arial" w:eastAsia="Times New Roman" w:hAnsi="Arial" w:cs="Arial"/>
                <w:b/>
                <w:bCs/>
                <w:sz w:val="16"/>
                <w:szCs w:val="14"/>
              </w:rPr>
            </w:pPr>
            <w:r w:rsidRPr="0009165E">
              <w:rPr>
                <w:rFonts w:ascii="Arial" w:eastAsia="Times New Roman" w:hAnsi="Arial" w:cs="Arial"/>
                <w:b/>
                <w:bCs/>
                <w:sz w:val="16"/>
                <w:szCs w:val="14"/>
              </w:rPr>
              <w:t>Senate Committee</w:t>
            </w:r>
          </w:p>
          <w:p w14:paraId="6EF51D36" w14:textId="77777777" w:rsidR="00C9506B" w:rsidRDefault="00145B3D" w:rsidP="00145B3D">
            <w:pPr>
              <w:jc w:val="center"/>
              <w:rPr>
                <w:rFonts w:ascii="Arial" w:eastAsia="Times New Roman" w:hAnsi="Arial" w:cs="Arial"/>
                <w:b/>
                <w:bCs/>
                <w:sz w:val="16"/>
                <w:szCs w:val="14"/>
              </w:rPr>
            </w:pPr>
            <w:r w:rsidRPr="0009165E">
              <w:rPr>
                <w:rFonts w:ascii="Arial" w:eastAsia="Times New Roman" w:hAnsi="Arial" w:cs="Arial"/>
                <w:b/>
                <w:bCs/>
                <w:sz w:val="16"/>
                <w:szCs w:val="14"/>
              </w:rPr>
              <w:t>NDAA</w:t>
            </w:r>
          </w:p>
          <w:p w14:paraId="0DAB4568" w14:textId="5043B820" w:rsidR="00145B3D" w:rsidRPr="0009165E" w:rsidRDefault="00145B3D" w:rsidP="00145B3D">
            <w:pPr>
              <w:jc w:val="center"/>
              <w:rPr>
                <w:rFonts w:ascii="Arial" w:eastAsia="Times New Roman" w:hAnsi="Arial" w:cs="Arial"/>
                <w:b/>
                <w:bCs/>
                <w:sz w:val="16"/>
                <w:szCs w:val="14"/>
              </w:rPr>
            </w:pPr>
            <w:r>
              <w:rPr>
                <w:rFonts w:ascii="Arial" w:eastAsia="Times New Roman" w:hAnsi="Arial" w:cs="Arial"/>
                <w:b/>
                <w:bCs/>
                <w:sz w:val="16"/>
                <w:szCs w:val="14"/>
              </w:rPr>
              <w:t>(SASC)</w:t>
            </w:r>
          </w:p>
        </w:tc>
        <w:tc>
          <w:tcPr>
            <w:tcW w:w="714" w:type="pct"/>
            <w:tcBorders>
              <w:top w:val="single" w:sz="4" w:space="0" w:color="auto"/>
              <w:left w:val="nil"/>
              <w:bottom w:val="single" w:sz="4" w:space="0" w:color="auto"/>
              <w:right w:val="nil"/>
            </w:tcBorders>
            <w:shd w:val="clear" w:color="auto" w:fill="auto"/>
            <w:vAlign w:val="center"/>
            <w:hideMark/>
          </w:tcPr>
          <w:p w14:paraId="48E35C74" w14:textId="353D0EE4" w:rsidR="00145B3D" w:rsidRPr="00145B3D" w:rsidRDefault="00145B3D" w:rsidP="00145B3D">
            <w:pPr>
              <w:jc w:val="center"/>
              <w:rPr>
                <w:rFonts w:ascii="Arial" w:hAnsi="Arial" w:cs="Arial"/>
              </w:rPr>
            </w:pPr>
            <w:r>
              <w:rPr>
                <w:rFonts w:ascii="Arial" w:eastAsia="Times New Roman" w:hAnsi="Arial" w:cs="Arial"/>
                <w:b/>
                <w:bCs/>
                <w:sz w:val="16"/>
                <w:szCs w:val="14"/>
              </w:rPr>
              <w:t xml:space="preserve">Full </w:t>
            </w:r>
            <w:r w:rsidRPr="0009165E">
              <w:rPr>
                <w:rFonts w:ascii="Arial" w:eastAsia="Times New Roman" w:hAnsi="Arial" w:cs="Arial"/>
                <w:b/>
                <w:bCs/>
                <w:sz w:val="16"/>
                <w:szCs w:val="14"/>
              </w:rPr>
              <w:t>House</w:t>
            </w:r>
            <w:r>
              <w:rPr>
                <w:rFonts w:ascii="Arial" w:eastAsia="Times New Roman" w:hAnsi="Arial" w:cs="Arial"/>
                <w:b/>
                <w:bCs/>
                <w:sz w:val="16"/>
                <w:szCs w:val="14"/>
              </w:rPr>
              <w:t>-passed</w:t>
            </w:r>
            <w:r w:rsidRPr="0009165E">
              <w:rPr>
                <w:rFonts w:ascii="Arial" w:eastAsia="Times New Roman" w:hAnsi="Arial" w:cs="Arial"/>
                <w:b/>
                <w:bCs/>
                <w:sz w:val="16"/>
                <w:szCs w:val="14"/>
              </w:rPr>
              <w:t xml:space="preserve"> NDAA</w:t>
            </w:r>
          </w:p>
          <w:p w14:paraId="4F9D67A6" w14:textId="3E511D71" w:rsidR="00C9506B" w:rsidRPr="0009165E" w:rsidRDefault="00C9506B" w:rsidP="001A5F58">
            <w:pPr>
              <w:jc w:val="center"/>
              <w:rPr>
                <w:rFonts w:ascii="Arial" w:eastAsia="Times New Roman" w:hAnsi="Arial" w:cs="Arial"/>
                <w:b/>
                <w:bCs/>
                <w:sz w:val="16"/>
                <w:szCs w:val="14"/>
              </w:rPr>
            </w:pPr>
          </w:p>
        </w:tc>
        <w:tc>
          <w:tcPr>
            <w:tcW w:w="714" w:type="pct"/>
            <w:tcBorders>
              <w:top w:val="single" w:sz="4" w:space="0" w:color="auto"/>
              <w:left w:val="nil"/>
              <w:bottom w:val="single" w:sz="4" w:space="0" w:color="auto"/>
              <w:right w:val="nil"/>
            </w:tcBorders>
            <w:shd w:val="clear" w:color="auto" w:fill="auto"/>
            <w:vAlign w:val="center"/>
            <w:hideMark/>
          </w:tcPr>
          <w:p w14:paraId="649E24D8" w14:textId="42C529A2" w:rsidR="00C9506B" w:rsidRPr="0009165E" w:rsidRDefault="00145B3D" w:rsidP="001A5F58">
            <w:pPr>
              <w:jc w:val="center"/>
              <w:rPr>
                <w:rFonts w:ascii="Arial" w:eastAsia="Times New Roman" w:hAnsi="Arial" w:cs="Arial"/>
                <w:b/>
                <w:bCs/>
                <w:sz w:val="16"/>
                <w:szCs w:val="14"/>
              </w:rPr>
            </w:pPr>
            <w:r>
              <w:rPr>
                <w:rFonts w:ascii="Arial" w:eastAsia="Times New Roman" w:hAnsi="Arial" w:cs="Arial"/>
                <w:b/>
                <w:bCs/>
                <w:sz w:val="16"/>
                <w:szCs w:val="14"/>
              </w:rPr>
              <w:t xml:space="preserve">Full </w:t>
            </w:r>
            <w:r w:rsidR="00C9506B" w:rsidRPr="0009165E">
              <w:rPr>
                <w:rFonts w:ascii="Arial" w:eastAsia="Times New Roman" w:hAnsi="Arial" w:cs="Arial"/>
                <w:b/>
                <w:bCs/>
                <w:sz w:val="16"/>
                <w:szCs w:val="14"/>
              </w:rPr>
              <w:t>Senate</w:t>
            </w:r>
            <w:r w:rsidR="00C9506B">
              <w:rPr>
                <w:rFonts w:ascii="Arial" w:eastAsia="Times New Roman" w:hAnsi="Arial" w:cs="Arial"/>
                <w:b/>
                <w:bCs/>
                <w:sz w:val="16"/>
                <w:szCs w:val="14"/>
              </w:rPr>
              <w:t>-passed</w:t>
            </w:r>
            <w:r w:rsidR="00C9506B" w:rsidRPr="0009165E">
              <w:rPr>
                <w:rFonts w:ascii="Arial" w:eastAsia="Times New Roman" w:hAnsi="Arial" w:cs="Arial"/>
                <w:b/>
                <w:bCs/>
                <w:sz w:val="16"/>
                <w:szCs w:val="14"/>
              </w:rPr>
              <w:t xml:space="preserve"> NDAA</w:t>
            </w:r>
          </w:p>
        </w:tc>
        <w:tc>
          <w:tcPr>
            <w:tcW w:w="714" w:type="pct"/>
            <w:tcBorders>
              <w:top w:val="single" w:sz="4" w:space="0" w:color="auto"/>
              <w:left w:val="nil"/>
              <w:bottom w:val="single" w:sz="4" w:space="0" w:color="auto"/>
              <w:right w:val="nil"/>
            </w:tcBorders>
            <w:vAlign w:val="center"/>
          </w:tcPr>
          <w:p w14:paraId="21F84EA2" w14:textId="77777777" w:rsidR="00C9506B" w:rsidRPr="0009165E" w:rsidRDefault="00C9506B" w:rsidP="001A5F58">
            <w:pPr>
              <w:jc w:val="center"/>
              <w:rPr>
                <w:rFonts w:ascii="Arial" w:eastAsia="Times New Roman" w:hAnsi="Arial" w:cs="Arial"/>
                <w:b/>
                <w:bCs/>
                <w:sz w:val="16"/>
                <w:szCs w:val="14"/>
              </w:rPr>
            </w:pPr>
            <w:r w:rsidRPr="0009165E">
              <w:rPr>
                <w:rFonts w:ascii="Arial" w:eastAsia="Times New Roman" w:hAnsi="Arial" w:cs="Arial"/>
                <w:b/>
                <w:bCs/>
                <w:sz w:val="16"/>
                <w:szCs w:val="14"/>
              </w:rPr>
              <w:t>Conference Committee</w:t>
            </w:r>
          </w:p>
        </w:tc>
        <w:tc>
          <w:tcPr>
            <w:tcW w:w="714" w:type="pct"/>
            <w:tcBorders>
              <w:top w:val="single" w:sz="4" w:space="0" w:color="auto"/>
              <w:left w:val="nil"/>
              <w:bottom w:val="single" w:sz="4" w:space="0" w:color="auto"/>
              <w:right w:val="nil"/>
            </w:tcBorders>
            <w:shd w:val="clear" w:color="auto" w:fill="auto"/>
            <w:vAlign w:val="center"/>
            <w:hideMark/>
          </w:tcPr>
          <w:p w14:paraId="4DED605D" w14:textId="77777777" w:rsidR="00C9506B" w:rsidRPr="0009165E" w:rsidRDefault="00C9506B" w:rsidP="001A5F58">
            <w:pPr>
              <w:jc w:val="center"/>
              <w:rPr>
                <w:rFonts w:ascii="Arial" w:eastAsia="Times New Roman" w:hAnsi="Arial" w:cs="Arial"/>
                <w:b/>
                <w:bCs/>
                <w:sz w:val="16"/>
                <w:szCs w:val="14"/>
              </w:rPr>
            </w:pPr>
            <w:r>
              <w:rPr>
                <w:rFonts w:ascii="Arial" w:eastAsia="Times New Roman" w:hAnsi="Arial" w:cs="Arial"/>
                <w:b/>
                <w:bCs/>
                <w:sz w:val="16"/>
                <w:szCs w:val="14"/>
              </w:rPr>
              <w:t>Signed Into Law</w:t>
            </w:r>
          </w:p>
        </w:tc>
      </w:tr>
    </w:tbl>
    <w:p w14:paraId="299878A2" w14:textId="0682DB8D" w:rsidR="00C9506B" w:rsidRPr="00E808DF" w:rsidRDefault="000748C3" w:rsidP="004A7371">
      <w:pPr>
        <w:jc w:val="both"/>
        <w:rPr>
          <w:rFonts w:ascii="Arial" w:hAnsi="Arial" w:cs="Arial"/>
          <w:sz w:val="20"/>
          <w:szCs w:val="20"/>
        </w:rPr>
      </w:pPr>
      <w:r>
        <w:rPr>
          <w:rFonts w:ascii="Athelas" w:hAnsi="Athelas" w:cs="Arial"/>
          <w:sz w:val="20"/>
          <w:szCs w:val="20"/>
        </w:rPr>
        <w:t xml:space="preserve">           </w:t>
      </w:r>
      <w:r w:rsidRPr="00594DB2">
        <w:rPr>
          <w:rFonts w:ascii="Athelas" w:hAnsi="Athelas" w:cs="Arial"/>
          <w:szCs w:val="20"/>
        </w:rPr>
        <w:sym w:font="Wingdings" w:char="F0FC"/>
      </w:r>
      <w:r>
        <w:rPr>
          <w:rFonts w:ascii="Athelas" w:hAnsi="Athelas" w:cs="Arial"/>
          <w:sz w:val="20"/>
          <w:szCs w:val="20"/>
        </w:rPr>
        <w:tab/>
        <w:t xml:space="preserve">         </w:t>
      </w:r>
      <w:r w:rsidRPr="00594DB2">
        <w:rPr>
          <w:rFonts w:ascii="Athelas" w:hAnsi="Athelas" w:cs="Arial"/>
          <w:szCs w:val="20"/>
        </w:rPr>
        <w:sym w:font="Wingdings" w:char="F0FC"/>
      </w:r>
      <w:r>
        <w:rPr>
          <w:rFonts w:ascii="Athelas" w:hAnsi="Athelas" w:cs="Arial"/>
          <w:sz w:val="20"/>
          <w:szCs w:val="20"/>
        </w:rPr>
        <w:tab/>
        <w:t xml:space="preserve">        </w:t>
      </w:r>
      <w:r>
        <w:rPr>
          <w:rFonts w:ascii="Athelas" w:hAnsi="Athelas" w:cs="Arial"/>
          <w:sz w:val="20"/>
          <w:szCs w:val="20"/>
        </w:rPr>
        <w:tab/>
        <w:t xml:space="preserve">       </w:t>
      </w:r>
      <w:r w:rsidRPr="00594DB2">
        <w:rPr>
          <w:rFonts w:ascii="Athelas" w:hAnsi="Athelas" w:cs="Arial"/>
          <w:szCs w:val="20"/>
        </w:rPr>
        <w:sym w:font="Wingdings" w:char="F0FC"/>
      </w:r>
      <w:r>
        <w:rPr>
          <w:rFonts w:ascii="Athelas" w:hAnsi="Athelas" w:cs="Arial"/>
          <w:sz w:val="20"/>
          <w:szCs w:val="20"/>
        </w:rPr>
        <w:tab/>
      </w:r>
      <w:r>
        <w:rPr>
          <w:rFonts w:ascii="Athelas" w:hAnsi="Athelas" w:cs="Arial"/>
          <w:sz w:val="20"/>
          <w:szCs w:val="20"/>
        </w:rPr>
        <w:tab/>
        <w:t xml:space="preserve">     </w:t>
      </w:r>
      <w:r w:rsidRPr="00594DB2">
        <w:rPr>
          <w:rFonts w:ascii="Athelas" w:hAnsi="Athelas" w:cs="Arial"/>
          <w:szCs w:val="20"/>
        </w:rPr>
        <w:sym w:font="Wingdings" w:char="F0FC"/>
      </w:r>
      <w:r>
        <w:rPr>
          <w:rFonts w:ascii="Athelas" w:hAnsi="Athelas" w:cs="Arial"/>
          <w:sz w:val="20"/>
          <w:szCs w:val="20"/>
        </w:rPr>
        <w:tab/>
        <w:t xml:space="preserve">                  </w:t>
      </w:r>
      <w:r w:rsidRPr="00594DB2">
        <w:rPr>
          <w:rFonts w:ascii="Athelas" w:hAnsi="Athelas" w:cs="Arial"/>
          <w:szCs w:val="20"/>
        </w:rPr>
        <w:sym w:font="Wingdings" w:char="F0FC"/>
      </w:r>
      <w:r>
        <w:rPr>
          <w:rFonts w:ascii="Athelas" w:hAnsi="Athelas" w:cs="Arial"/>
          <w:szCs w:val="20"/>
        </w:rPr>
        <w:tab/>
      </w:r>
      <w:r>
        <w:rPr>
          <w:rFonts w:ascii="Athelas" w:hAnsi="Athelas" w:cs="Arial"/>
          <w:szCs w:val="20"/>
        </w:rPr>
        <w:tab/>
        <w:t xml:space="preserve"> </w:t>
      </w:r>
      <w:r w:rsidRPr="00594DB2">
        <w:rPr>
          <w:rFonts w:ascii="Athelas" w:hAnsi="Athelas" w:cs="Arial"/>
          <w:szCs w:val="20"/>
        </w:rPr>
        <w:sym w:font="Wingdings" w:char="F0FC"/>
      </w:r>
      <w:r>
        <w:rPr>
          <w:rFonts w:ascii="Athelas" w:hAnsi="Athelas" w:cs="Arial"/>
          <w:szCs w:val="20"/>
        </w:rPr>
        <w:t xml:space="preserve">         </w:t>
      </w:r>
      <w:r w:rsidR="004A7371">
        <w:rPr>
          <w:rFonts w:ascii="Athelas" w:hAnsi="Athelas" w:cs="Arial"/>
          <w:szCs w:val="20"/>
        </w:rPr>
        <w:tab/>
      </w:r>
      <w:r w:rsidR="004A7371" w:rsidRPr="00594DB2">
        <w:rPr>
          <w:rFonts w:ascii="Athelas" w:hAnsi="Athelas" w:cs="Arial"/>
          <w:szCs w:val="20"/>
        </w:rPr>
        <w:sym w:font="Wingdings" w:char="F0FC"/>
      </w:r>
    </w:p>
    <w:p w14:paraId="5958B864" w14:textId="77777777" w:rsidR="00C9506B" w:rsidRPr="008E0E77" w:rsidRDefault="00C9506B" w:rsidP="00C9506B">
      <w:pPr>
        <w:ind w:left="7200" w:firstLine="720"/>
        <w:jc w:val="both"/>
        <w:rPr>
          <w:rFonts w:ascii="Arial" w:hAnsi="Arial" w:cs="Arial"/>
          <w:sz w:val="16"/>
          <w:szCs w:val="16"/>
        </w:rPr>
      </w:pPr>
    </w:p>
    <w:p w14:paraId="3BA6B07E" w14:textId="77777777" w:rsidR="00C9506B" w:rsidRPr="00BF00EC" w:rsidRDefault="00C9506B" w:rsidP="00C9506B">
      <w:pPr>
        <w:jc w:val="both"/>
        <w:rPr>
          <w:rFonts w:ascii="Arial" w:hAnsi="Arial" w:cs="Arial"/>
          <w:b/>
          <w:color w:val="1A3866"/>
          <w:sz w:val="20"/>
          <w:szCs w:val="21"/>
        </w:rPr>
      </w:pPr>
      <w:r w:rsidRPr="00BF00EC">
        <w:rPr>
          <w:rFonts w:ascii="Arial" w:hAnsi="Arial" w:cs="Arial"/>
          <w:b/>
          <w:color w:val="1A3866"/>
          <w:sz w:val="20"/>
          <w:szCs w:val="21"/>
        </w:rPr>
        <w:t>Defense Appropriations</w:t>
      </w:r>
    </w:p>
    <w:tbl>
      <w:tblPr>
        <w:tblW w:w="5000" w:type="pct"/>
        <w:tblLook w:val="04A0" w:firstRow="1" w:lastRow="0" w:firstColumn="1" w:lastColumn="0" w:noHBand="0" w:noVBand="1"/>
      </w:tblPr>
      <w:tblGrid>
        <w:gridCol w:w="1338"/>
        <w:gridCol w:w="1337"/>
        <w:gridCol w:w="1337"/>
        <w:gridCol w:w="1337"/>
        <w:gridCol w:w="1337"/>
        <w:gridCol w:w="1337"/>
        <w:gridCol w:w="1337"/>
      </w:tblGrid>
      <w:tr w:rsidR="00C9506B" w:rsidRPr="0009165E" w14:paraId="4A056933" w14:textId="77777777" w:rsidTr="001A5F58">
        <w:trPr>
          <w:trHeight w:val="402"/>
        </w:trPr>
        <w:tc>
          <w:tcPr>
            <w:tcW w:w="715" w:type="pct"/>
            <w:tcBorders>
              <w:top w:val="single" w:sz="4" w:space="0" w:color="auto"/>
              <w:left w:val="nil"/>
              <w:bottom w:val="single" w:sz="4" w:space="0" w:color="auto"/>
              <w:right w:val="nil"/>
            </w:tcBorders>
          </w:tcPr>
          <w:p w14:paraId="04CD954A" w14:textId="77777777" w:rsidR="00C9506B" w:rsidRPr="0009165E" w:rsidRDefault="00C9506B" w:rsidP="001A5F58">
            <w:pPr>
              <w:jc w:val="center"/>
              <w:rPr>
                <w:rFonts w:ascii="Arial" w:eastAsia="Times New Roman" w:hAnsi="Arial" w:cs="Arial"/>
                <w:b/>
                <w:bCs/>
                <w:sz w:val="16"/>
                <w:szCs w:val="14"/>
              </w:rPr>
            </w:pPr>
            <w:r>
              <w:rPr>
                <w:rFonts w:ascii="Arial" w:eastAsia="Times New Roman" w:hAnsi="Arial" w:cs="Arial"/>
                <w:b/>
                <w:bCs/>
                <w:sz w:val="16"/>
                <w:szCs w:val="14"/>
              </w:rPr>
              <w:t>President’s Budget Release</w:t>
            </w:r>
          </w:p>
        </w:tc>
        <w:tc>
          <w:tcPr>
            <w:tcW w:w="714" w:type="pct"/>
            <w:tcBorders>
              <w:top w:val="single" w:sz="4" w:space="0" w:color="auto"/>
              <w:left w:val="nil"/>
              <w:bottom w:val="single" w:sz="4" w:space="0" w:color="auto"/>
              <w:right w:val="nil"/>
            </w:tcBorders>
            <w:shd w:val="clear" w:color="auto" w:fill="auto"/>
            <w:vAlign w:val="center"/>
            <w:hideMark/>
          </w:tcPr>
          <w:p w14:paraId="57F5CE0F" w14:textId="77777777" w:rsidR="00C9506B" w:rsidRDefault="00C9506B" w:rsidP="001A5F58">
            <w:pPr>
              <w:jc w:val="center"/>
              <w:rPr>
                <w:rFonts w:ascii="Arial" w:eastAsia="Times New Roman" w:hAnsi="Arial" w:cs="Arial"/>
                <w:b/>
                <w:bCs/>
                <w:sz w:val="16"/>
                <w:szCs w:val="14"/>
              </w:rPr>
            </w:pPr>
            <w:r w:rsidRPr="0009165E">
              <w:rPr>
                <w:rFonts w:ascii="Arial" w:eastAsia="Times New Roman" w:hAnsi="Arial" w:cs="Arial"/>
                <w:b/>
                <w:bCs/>
                <w:sz w:val="16"/>
                <w:szCs w:val="14"/>
              </w:rPr>
              <w:t>House Committee Approps.</w:t>
            </w:r>
          </w:p>
          <w:p w14:paraId="5DE4DE3F" w14:textId="32F012FC" w:rsidR="00145B3D" w:rsidRPr="0009165E" w:rsidRDefault="00145B3D" w:rsidP="001A5F58">
            <w:pPr>
              <w:jc w:val="center"/>
              <w:rPr>
                <w:rFonts w:ascii="Arial" w:eastAsia="Times New Roman" w:hAnsi="Arial" w:cs="Arial"/>
                <w:b/>
                <w:bCs/>
                <w:sz w:val="16"/>
                <w:szCs w:val="14"/>
              </w:rPr>
            </w:pPr>
            <w:r>
              <w:rPr>
                <w:rFonts w:ascii="Arial" w:eastAsia="Times New Roman" w:hAnsi="Arial" w:cs="Arial"/>
                <w:b/>
                <w:bCs/>
                <w:sz w:val="16"/>
                <w:szCs w:val="14"/>
              </w:rPr>
              <w:t>(HAC-D)</w:t>
            </w:r>
          </w:p>
        </w:tc>
        <w:tc>
          <w:tcPr>
            <w:tcW w:w="714" w:type="pct"/>
            <w:tcBorders>
              <w:top w:val="single" w:sz="4" w:space="0" w:color="auto"/>
              <w:left w:val="nil"/>
              <w:bottom w:val="single" w:sz="4" w:space="0" w:color="auto"/>
              <w:right w:val="nil"/>
            </w:tcBorders>
            <w:shd w:val="clear" w:color="auto" w:fill="auto"/>
            <w:vAlign w:val="center"/>
            <w:hideMark/>
          </w:tcPr>
          <w:p w14:paraId="3EB5CB84" w14:textId="77777777" w:rsidR="00C9506B" w:rsidRDefault="00145B3D" w:rsidP="001A5F58">
            <w:pPr>
              <w:jc w:val="center"/>
              <w:rPr>
                <w:rFonts w:ascii="Arial" w:eastAsia="Times New Roman" w:hAnsi="Arial" w:cs="Arial"/>
                <w:b/>
                <w:bCs/>
                <w:sz w:val="16"/>
                <w:szCs w:val="14"/>
              </w:rPr>
            </w:pPr>
            <w:r w:rsidRPr="0009165E">
              <w:rPr>
                <w:rFonts w:ascii="Arial" w:eastAsia="Times New Roman" w:hAnsi="Arial" w:cs="Arial"/>
                <w:b/>
                <w:bCs/>
                <w:sz w:val="16"/>
                <w:szCs w:val="14"/>
              </w:rPr>
              <w:t>Senate Committee Approps.</w:t>
            </w:r>
          </w:p>
          <w:p w14:paraId="302EF0BA" w14:textId="1C8AFFAA" w:rsidR="00145B3D" w:rsidRPr="0009165E" w:rsidRDefault="00145B3D" w:rsidP="001A5F58">
            <w:pPr>
              <w:jc w:val="center"/>
              <w:rPr>
                <w:rFonts w:ascii="Arial" w:eastAsia="Times New Roman" w:hAnsi="Arial" w:cs="Arial"/>
                <w:b/>
                <w:bCs/>
                <w:sz w:val="16"/>
                <w:szCs w:val="14"/>
              </w:rPr>
            </w:pPr>
            <w:r>
              <w:rPr>
                <w:rFonts w:ascii="Arial" w:eastAsia="Times New Roman" w:hAnsi="Arial" w:cs="Arial"/>
                <w:b/>
                <w:bCs/>
                <w:sz w:val="16"/>
                <w:szCs w:val="14"/>
              </w:rPr>
              <w:t>(SAC-D)</w:t>
            </w:r>
          </w:p>
        </w:tc>
        <w:tc>
          <w:tcPr>
            <w:tcW w:w="714" w:type="pct"/>
            <w:tcBorders>
              <w:top w:val="single" w:sz="4" w:space="0" w:color="auto"/>
              <w:left w:val="nil"/>
              <w:bottom w:val="single" w:sz="4" w:space="0" w:color="auto"/>
              <w:right w:val="nil"/>
            </w:tcBorders>
            <w:shd w:val="clear" w:color="auto" w:fill="auto"/>
            <w:vAlign w:val="center"/>
            <w:hideMark/>
          </w:tcPr>
          <w:p w14:paraId="13D5E13F" w14:textId="3C0EB295" w:rsidR="00C9506B" w:rsidRPr="0009165E" w:rsidRDefault="00145B3D" w:rsidP="00145B3D">
            <w:pPr>
              <w:jc w:val="center"/>
              <w:rPr>
                <w:rFonts w:ascii="Arial" w:eastAsia="Times New Roman" w:hAnsi="Arial" w:cs="Arial"/>
                <w:b/>
                <w:bCs/>
                <w:sz w:val="16"/>
                <w:szCs w:val="14"/>
              </w:rPr>
            </w:pPr>
            <w:r>
              <w:rPr>
                <w:rFonts w:ascii="Arial" w:eastAsia="Times New Roman" w:hAnsi="Arial" w:cs="Arial"/>
                <w:b/>
                <w:bCs/>
                <w:sz w:val="16"/>
                <w:szCs w:val="14"/>
              </w:rPr>
              <w:t>Full House-passed</w:t>
            </w:r>
            <w:r w:rsidRPr="0009165E">
              <w:rPr>
                <w:rFonts w:ascii="Arial" w:eastAsia="Times New Roman" w:hAnsi="Arial" w:cs="Arial"/>
                <w:b/>
                <w:bCs/>
                <w:sz w:val="16"/>
                <w:szCs w:val="14"/>
              </w:rPr>
              <w:t xml:space="preserve"> Approps. Bill</w:t>
            </w:r>
            <w:r w:rsidR="00C9506B" w:rsidRPr="0009165E">
              <w:rPr>
                <w:rFonts w:ascii="Arial" w:eastAsia="Times New Roman" w:hAnsi="Arial" w:cs="Arial"/>
                <w:b/>
                <w:bCs/>
                <w:sz w:val="16"/>
                <w:szCs w:val="14"/>
              </w:rPr>
              <w:t>.</w:t>
            </w:r>
          </w:p>
        </w:tc>
        <w:tc>
          <w:tcPr>
            <w:tcW w:w="714" w:type="pct"/>
            <w:tcBorders>
              <w:top w:val="single" w:sz="4" w:space="0" w:color="auto"/>
              <w:left w:val="nil"/>
              <w:bottom w:val="single" w:sz="4" w:space="0" w:color="auto"/>
              <w:right w:val="nil"/>
            </w:tcBorders>
            <w:shd w:val="clear" w:color="auto" w:fill="auto"/>
            <w:vAlign w:val="center"/>
            <w:hideMark/>
          </w:tcPr>
          <w:p w14:paraId="0F2EE0EB" w14:textId="42306CAE" w:rsidR="00C9506B" w:rsidRPr="0009165E" w:rsidRDefault="00145B3D" w:rsidP="001A5F58">
            <w:pPr>
              <w:jc w:val="center"/>
              <w:rPr>
                <w:rFonts w:ascii="Arial" w:eastAsia="Times New Roman" w:hAnsi="Arial" w:cs="Arial"/>
                <w:b/>
                <w:bCs/>
                <w:sz w:val="16"/>
                <w:szCs w:val="14"/>
              </w:rPr>
            </w:pPr>
            <w:r>
              <w:rPr>
                <w:rFonts w:ascii="Arial" w:eastAsia="Times New Roman" w:hAnsi="Arial" w:cs="Arial"/>
                <w:b/>
                <w:bCs/>
                <w:sz w:val="16"/>
                <w:szCs w:val="14"/>
              </w:rPr>
              <w:t xml:space="preserve">Full </w:t>
            </w:r>
            <w:r w:rsidR="00C9506B" w:rsidRPr="0009165E">
              <w:rPr>
                <w:rFonts w:ascii="Arial" w:eastAsia="Times New Roman" w:hAnsi="Arial" w:cs="Arial"/>
                <w:b/>
                <w:bCs/>
                <w:sz w:val="16"/>
                <w:szCs w:val="14"/>
              </w:rPr>
              <w:t>Senate</w:t>
            </w:r>
            <w:r w:rsidR="00C9506B">
              <w:rPr>
                <w:rFonts w:ascii="Arial" w:eastAsia="Times New Roman" w:hAnsi="Arial" w:cs="Arial"/>
                <w:b/>
                <w:bCs/>
                <w:sz w:val="16"/>
                <w:szCs w:val="14"/>
              </w:rPr>
              <w:t>-passed</w:t>
            </w:r>
            <w:r w:rsidR="00C9506B" w:rsidRPr="0009165E">
              <w:rPr>
                <w:rFonts w:ascii="Arial" w:eastAsia="Times New Roman" w:hAnsi="Arial" w:cs="Arial"/>
                <w:b/>
                <w:bCs/>
                <w:sz w:val="16"/>
                <w:szCs w:val="14"/>
              </w:rPr>
              <w:t xml:space="preserve"> Approps. Bill</w:t>
            </w:r>
          </w:p>
        </w:tc>
        <w:tc>
          <w:tcPr>
            <w:tcW w:w="714" w:type="pct"/>
            <w:tcBorders>
              <w:top w:val="single" w:sz="4" w:space="0" w:color="auto"/>
              <w:left w:val="nil"/>
              <w:bottom w:val="single" w:sz="4" w:space="0" w:color="auto"/>
              <w:right w:val="nil"/>
            </w:tcBorders>
            <w:vAlign w:val="center"/>
          </w:tcPr>
          <w:p w14:paraId="14773F3C" w14:textId="77777777" w:rsidR="00C9506B" w:rsidRPr="0009165E" w:rsidRDefault="00C9506B" w:rsidP="001A5F58">
            <w:pPr>
              <w:jc w:val="center"/>
              <w:rPr>
                <w:rFonts w:ascii="Arial" w:eastAsia="Times New Roman" w:hAnsi="Arial" w:cs="Arial"/>
                <w:b/>
                <w:bCs/>
                <w:sz w:val="16"/>
                <w:szCs w:val="14"/>
              </w:rPr>
            </w:pPr>
            <w:r w:rsidRPr="0009165E">
              <w:rPr>
                <w:rFonts w:ascii="Arial" w:eastAsia="Times New Roman" w:hAnsi="Arial" w:cs="Arial"/>
                <w:b/>
                <w:bCs/>
                <w:sz w:val="16"/>
                <w:szCs w:val="14"/>
              </w:rPr>
              <w:t>Conference Committee</w:t>
            </w:r>
          </w:p>
        </w:tc>
        <w:tc>
          <w:tcPr>
            <w:tcW w:w="714" w:type="pct"/>
            <w:tcBorders>
              <w:top w:val="single" w:sz="4" w:space="0" w:color="auto"/>
              <w:left w:val="nil"/>
              <w:bottom w:val="single" w:sz="4" w:space="0" w:color="auto"/>
              <w:right w:val="nil"/>
            </w:tcBorders>
            <w:shd w:val="clear" w:color="auto" w:fill="auto"/>
            <w:vAlign w:val="center"/>
            <w:hideMark/>
          </w:tcPr>
          <w:p w14:paraId="3DC1AC8D" w14:textId="77777777" w:rsidR="00C9506B" w:rsidRPr="0009165E" w:rsidRDefault="00C9506B" w:rsidP="001A5F58">
            <w:pPr>
              <w:jc w:val="center"/>
              <w:rPr>
                <w:rFonts w:ascii="Arial" w:eastAsia="Times New Roman" w:hAnsi="Arial" w:cs="Arial"/>
                <w:b/>
                <w:bCs/>
                <w:sz w:val="16"/>
                <w:szCs w:val="14"/>
              </w:rPr>
            </w:pPr>
            <w:r>
              <w:rPr>
                <w:rFonts w:ascii="Arial" w:eastAsia="Times New Roman" w:hAnsi="Arial" w:cs="Arial"/>
                <w:b/>
                <w:bCs/>
                <w:sz w:val="16"/>
                <w:szCs w:val="14"/>
              </w:rPr>
              <w:t>Signed Into Law</w:t>
            </w:r>
          </w:p>
        </w:tc>
      </w:tr>
    </w:tbl>
    <w:p w14:paraId="58F9F711" w14:textId="7C9EFC34" w:rsidR="009A1744" w:rsidRDefault="00C9506B" w:rsidP="009A1744">
      <w:pPr>
        <w:jc w:val="both"/>
        <w:rPr>
          <w:rFonts w:ascii="Arial" w:hAnsi="Arial" w:cs="Arial"/>
          <w:sz w:val="20"/>
          <w:szCs w:val="20"/>
        </w:rPr>
      </w:pPr>
      <w:r>
        <w:rPr>
          <w:rFonts w:ascii="Arial" w:hAnsi="Arial" w:cs="Arial"/>
          <w:sz w:val="20"/>
          <w:szCs w:val="20"/>
        </w:rPr>
        <w:t xml:space="preserve">          </w:t>
      </w:r>
      <w:r w:rsidR="009A1744" w:rsidRPr="00594DB2">
        <w:rPr>
          <w:rFonts w:ascii="Athelas" w:hAnsi="Athelas" w:cs="Arial"/>
          <w:szCs w:val="20"/>
        </w:rPr>
        <w:sym w:font="Wingdings" w:char="F0FC"/>
      </w:r>
      <w:r w:rsidR="009A1744">
        <w:rPr>
          <w:rFonts w:ascii="Arial" w:hAnsi="Arial" w:cs="Arial"/>
          <w:sz w:val="20"/>
          <w:szCs w:val="20"/>
        </w:rPr>
        <w:tab/>
        <w:t xml:space="preserve">        </w:t>
      </w:r>
      <w:r w:rsidR="009A1744" w:rsidRPr="00594DB2">
        <w:rPr>
          <w:rFonts w:ascii="Athelas" w:hAnsi="Athelas" w:cs="Arial"/>
          <w:szCs w:val="20"/>
        </w:rPr>
        <w:sym w:font="Wingdings" w:char="F0FC"/>
      </w:r>
      <w:r w:rsidR="009A1744">
        <w:rPr>
          <w:rFonts w:ascii="Athelas" w:hAnsi="Athelas" w:cs="Arial"/>
          <w:szCs w:val="20"/>
        </w:rPr>
        <w:t xml:space="preserve">                     </w:t>
      </w:r>
      <w:r w:rsidR="009A1744" w:rsidRPr="00594DB2">
        <w:rPr>
          <w:rFonts w:ascii="Athelas" w:hAnsi="Athelas" w:cs="Arial"/>
          <w:szCs w:val="20"/>
        </w:rPr>
        <w:sym w:font="Wingdings" w:char="F0FC"/>
      </w:r>
      <w:r w:rsidR="009A1744">
        <w:rPr>
          <w:rFonts w:ascii="Athelas" w:hAnsi="Athelas" w:cs="Arial"/>
          <w:szCs w:val="20"/>
        </w:rPr>
        <w:tab/>
      </w:r>
      <w:r w:rsidR="009A1744">
        <w:rPr>
          <w:rFonts w:ascii="Athelas" w:hAnsi="Athelas" w:cs="Arial"/>
          <w:szCs w:val="20"/>
        </w:rPr>
        <w:tab/>
        <w:t xml:space="preserve">     </w:t>
      </w:r>
      <w:r w:rsidR="009A1744" w:rsidRPr="00594DB2">
        <w:rPr>
          <w:rFonts w:ascii="Athelas" w:hAnsi="Athelas" w:cs="Arial"/>
          <w:szCs w:val="20"/>
        </w:rPr>
        <w:sym w:font="Wingdings" w:char="F0FC"/>
      </w:r>
      <w:r w:rsidR="009A1744">
        <w:rPr>
          <w:rFonts w:ascii="Athelas" w:hAnsi="Athelas" w:cs="Arial"/>
          <w:szCs w:val="20"/>
        </w:rPr>
        <w:tab/>
        <w:t xml:space="preserve">   </w:t>
      </w:r>
      <w:r w:rsidR="009A1744" w:rsidRPr="00E808DF">
        <w:rPr>
          <w:rFonts w:ascii="Arial" w:hAnsi="Arial" w:cs="Arial"/>
          <w:sz w:val="20"/>
          <w:szCs w:val="20"/>
        </w:rPr>
        <w:t>▲</w:t>
      </w:r>
    </w:p>
    <w:p w14:paraId="08882883" w14:textId="77777777" w:rsidR="009A1744" w:rsidRDefault="009A1744" w:rsidP="009A1744">
      <w:pPr>
        <w:ind w:left="720" w:firstLine="720"/>
        <w:jc w:val="both"/>
        <w:rPr>
          <w:rFonts w:ascii="Arial" w:hAnsi="Arial" w:cs="Arial"/>
          <w:sz w:val="18"/>
          <w:szCs w:val="16"/>
        </w:rPr>
      </w:pPr>
      <w:r>
        <w:rPr>
          <w:rFonts w:ascii="Arial" w:hAnsi="Arial" w:cs="Arial"/>
          <w:sz w:val="18"/>
          <w:szCs w:val="16"/>
        </w:rPr>
        <w:t xml:space="preserve">                          </w:t>
      </w:r>
      <w:r>
        <w:rPr>
          <w:rFonts w:ascii="Arial" w:hAnsi="Arial" w:cs="Arial"/>
          <w:sz w:val="18"/>
          <w:szCs w:val="16"/>
        </w:rPr>
        <w:tab/>
      </w:r>
      <w:r>
        <w:rPr>
          <w:rFonts w:ascii="Arial" w:hAnsi="Arial" w:cs="Arial"/>
          <w:sz w:val="18"/>
          <w:szCs w:val="16"/>
        </w:rPr>
        <w:tab/>
      </w:r>
      <w:r>
        <w:rPr>
          <w:rFonts w:ascii="Arial" w:hAnsi="Arial" w:cs="Arial"/>
          <w:sz w:val="18"/>
          <w:szCs w:val="16"/>
        </w:rPr>
        <w:tab/>
        <w:t xml:space="preserve">         </w:t>
      </w:r>
      <w:r w:rsidRPr="001E1FD2">
        <w:rPr>
          <w:rFonts w:ascii="Arial" w:hAnsi="Arial" w:cs="Arial"/>
          <w:sz w:val="18"/>
          <w:szCs w:val="16"/>
        </w:rPr>
        <w:t>Current Point</w:t>
      </w:r>
    </w:p>
    <w:p w14:paraId="2FC4C4B2" w14:textId="77777777" w:rsidR="00337396" w:rsidRPr="005E2327" w:rsidRDefault="00337396" w:rsidP="00337396">
      <w:pPr>
        <w:jc w:val="both"/>
        <w:rPr>
          <w:rFonts w:ascii="Arial" w:hAnsi="Arial" w:cs="Arial"/>
        </w:rPr>
      </w:pPr>
    </w:p>
    <w:p w14:paraId="2ABAB256" w14:textId="77777777" w:rsidR="00337396" w:rsidRPr="005E2327" w:rsidRDefault="00337396" w:rsidP="00337396">
      <w:pPr>
        <w:rPr>
          <w:rFonts w:ascii="Arial" w:hAnsi="Arial" w:cs="Arial"/>
          <w:i/>
          <w:szCs w:val="21"/>
        </w:rPr>
      </w:pPr>
      <w:r w:rsidRPr="005E2327">
        <w:rPr>
          <w:rFonts w:ascii="Arial" w:hAnsi="Arial" w:cs="Arial"/>
          <w:i/>
          <w:szCs w:val="21"/>
        </w:rPr>
        <w:t xml:space="preserve">Provisions cited below are </w:t>
      </w:r>
      <w:r>
        <w:rPr>
          <w:rFonts w:ascii="Arial" w:hAnsi="Arial" w:cs="Arial"/>
          <w:i/>
          <w:szCs w:val="21"/>
        </w:rPr>
        <w:t xml:space="preserve">authorizations approved by the FY24 NDAA Conference Committee only. </w:t>
      </w:r>
    </w:p>
    <w:p w14:paraId="0D571967" w14:textId="6A86DB31" w:rsidR="00C9506B" w:rsidRDefault="00C9506B" w:rsidP="009A1744">
      <w:pPr>
        <w:rPr>
          <w:rFonts w:ascii="Arial" w:hAnsi="Arial" w:cs="Arial"/>
        </w:rPr>
      </w:pPr>
    </w:p>
    <w:p w14:paraId="2EA85768" w14:textId="31F95811" w:rsidR="004D27E6" w:rsidRPr="00D45EBC" w:rsidRDefault="00C9506B" w:rsidP="001026F1">
      <w:pPr>
        <w:rPr>
          <w:rFonts w:ascii="Arial" w:hAnsi="Arial" w:cs="Arial"/>
        </w:rPr>
      </w:pPr>
      <w:bookmarkStart w:id="0" w:name="_Hlk152861361"/>
      <w:r w:rsidRPr="00D45EBC">
        <w:rPr>
          <w:rFonts w:ascii="Arial" w:hAnsi="Arial" w:cs="Arial"/>
          <w:b/>
          <w:bCs/>
          <w:color w:val="1A3866"/>
          <w:sz w:val="24"/>
          <w:szCs w:val="24"/>
        </w:rPr>
        <w:t>Summary funding:</w:t>
      </w:r>
      <w:r w:rsidRPr="00D45EBC">
        <w:rPr>
          <w:rFonts w:ascii="Arial" w:hAnsi="Arial" w:cs="Arial"/>
          <w:color w:val="1A3866"/>
          <w:sz w:val="24"/>
          <w:szCs w:val="24"/>
        </w:rPr>
        <w:t xml:space="preserve"> </w:t>
      </w:r>
      <w:r w:rsidR="00171D28" w:rsidRPr="00D45EBC">
        <w:rPr>
          <w:rFonts w:ascii="Arial" w:hAnsi="Arial" w:cs="Arial"/>
        </w:rPr>
        <w:t>T</w:t>
      </w:r>
      <w:r w:rsidR="0064478A" w:rsidRPr="00D45EBC">
        <w:rPr>
          <w:rFonts w:ascii="Arial" w:hAnsi="Arial" w:cs="Arial"/>
        </w:rPr>
        <w:t xml:space="preserve">he committee </w:t>
      </w:r>
      <w:r w:rsidR="00171D28" w:rsidRPr="00D45EBC">
        <w:rPr>
          <w:rFonts w:ascii="Arial" w:hAnsi="Arial" w:cs="Arial"/>
        </w:rPr>
        <w:t>a</w:t>
      </w:r>
      <w:r w:rsidR="00E323EB" w:rsidRPr="00D45EBC">
        <w:rPr>
          <w:rFonts w:ascii="Arial" w:hAnsi="Arial" w:cs="Arial"/>
        </w:rPr>
        <w:t>uthorizes</w:t>
      </w:r>
      <w:r w:rsidR="00171D28" w:rsidRPr="00D45EBC">
        <w:rPr>
          <w:rFonts w:ascii="Arial" w:hAnsi="Arial" w:cs="Arial"/>
        </w:rPr>
        <w:t xml:space="preserve"> $</w:t>
      </w:r>
      <w:r w:rsidR="0064478A" w:rsidRPr="00D45EBC">
        <w:rPr>
          <w:rFonts w:ascii="Arial" w:hAnsi="Arial" w:cs="Arial"/>
        </w:rPr>
        <w:t>886</w:t>
      </w:r>
      <w:r w:rsidR="00337396">
        <w:rPr>
          <w:rFonts w:ascii="Arial" w:hAnsi="Arial" w:cs="Arial"/>
        </w:rPr>
        <w:t>B</w:t>
      </w:r>
      <w:r w:rsidR="0064478A" w:rsidRPr="00D45EBC">
        <w:rPr>
          <w:rFonts w:ascii="Arial" w:hAnsi="Arial" w:cs="Arial"/>
        </w:rPr>
        <w:t xml:space="preserve"> for </w:t>
      </w:r>
      <w:r w:rsidR="005B2591">
        <w:rPr>
          <w:rFonts w:ascii="Arial" w:hAnsi="Arial" w:cs="Arial"/>
        </w:rPr>
        <w:t>defense-related</w:t>
      </w:r>
      <w:r w:rsidR="0064478A" w:rsidRPr="00D45EBC">
        <w:rPr>
          <w:rFonts w:ascii="Arial" w:hAnsi="Arial" w:cs="Arial"/>
        </w:rPr>
        <w:t xml:space="preserve"> programs, matching the PB. </w:t>
      </w:r>
    </w:p>
    <w:p w14:paraId="7519984B" w14:textId="77777777" w:rsidR="002E4614" w:rsidRPr="009A1744" w:rsidRDefault="002E4614" w:rsidP="001026F1">
      <w:pPr>
        <w:rPr>
          <w:rFonts w:ascii="Arial" w:hAnsi="Arial" w:cs="Arial"/>
          <w:highlight w:val="yellow"/>
        </w:rPr>
      </w:pPr>
    </w:p>
    <w:p w14:paraId="559C83FB" w14:textId="45B463A2" w:rsidR="00A316DC" w:rsidRPr="0064478A" w:rsidRDefault="002E4614" w:rsidP="003232D7">
      <w:pPr>
        <w:pStyle w:val="ListParagraph"/>
        <w:numPr>
          <w:ilvl w:val="0"/>
          <w:numId w:val="36"/>
        </w:numPr>
        <w:rPr>
          <w:rFonts w:ascii="Arial" w:hAnsi="Arial" w:cs="Arial"/>
        </w:rPr>
      </w:pPr>
      <w:r w:rsidRPr="0064478A">
        <w:rPr>
          <w:rFonts w:ascii="Arial" w:hAnsi="Arial" w:cs="Arial"/>
        </w:rPr>
        <w:t>$84</w:t>
      </w:r>
      <w:r w:rsidR="0064478A" w:rsidRPr="0064478A">
        <w:rPr>
          <w:rFonts w:ascii="Arial" w:hAnsi="Arial" w:cs="Arial"/>
        </w:rPr>
        <w:t>2</w:t>
      </w:r>
      <w:r w:rsidR="00337396">
        <w:rPr>
          <w:rFonts w:ascii="Arial" w:hAnsi="Arial" w:cs="Arial"/>
        </w:rPr>
        <w:t>B</w:t>
      </w:r>
      <w:r w:rsidRPr="0064478A">
        <w:rPr>
          <w:rFonts w:ascii="Arial" w:hAnsi="Arial" w:cs="Arial"/>
        </w:rPr>
        <w:t xml:space="preserve"> for the Department of Defense</w:t>
      </w:r>
    </w:p>
    <w:p w14:paraId="2869B0C9" w14:textId="77777777" w:rsidR="00D667B4" w:rsidRPr="009A1744" w:rsidRDefault="00D667B4" w:rsidP="00D667B4">
      <w:pPr>
        <w:pStyle w:val="ListParagraph"/>
        <w:rPr>
          <w:rFonts w:ascii="Arial" w:hAnsi="Arial" w:cs="Arial"/>
          <w:highlight w:val="yellow"/>
        </w:rPr>
      </w:pPr>
    </w:p>
    <w:p w14:paraId="5E891AA3" w14:textId="77777777" w:rsidR="00435A98" w:rsidRDefault="0050471B" w:rsidP="002E4614">
      <w:pPr>
        <w:pStyle w:val="ListParagraph"/>
        <w:numPr>
          <w:ilvl w:val="0"/>
          <w:numId w:val="34"/>
        </w:numPr>
        <w:rPr>
          <w:rFonts w:ascii="Arial" w:hAnsi="Arial" w:cs="Arial"/>
        </w:rPr>
      </w:pPr>
      <w:r w:rsidRPr="00435A98">
        <w:rPr>
          <w:rFonts w:ascii="Arial" w:hAnsi="Arial" w:cs="Arial"/>
        </w:rPr>
        <w:t>Authorizes the Vice Chief of the National Guard to be in the grade of four-star officer</w:t>
      </w:r>
      <w:r w:rsidR="00435A98">
        <w:rPr>
          <w:rFonts w:ascii="Arial" w:hAnsi="Arial" w:cs="Arial"/>
        </w:rPr>
        <w:t>.</w:t>
      </w:r>
    </w:p>
    <w:p w14:paraId="07984344" w14:textId="259FAE35" w:rsidR="0050471B" w:rsidRPr="00435A98" w:rsidRDefault="005B2591" w:rsidP="00435A98">
      <w:pPr>
        <w:pStyle w:val="ListParagraph"/>
        <w:numPr>
          <w:ilvl w:val="1"/>
          <w:numId w:val="34"/>
        </w:numPr>
        <w:rPr>
          <w:rFonts w:ascii="Arial" w:hAnsi="Arial" w:cs="Arial"/>
        </w:rPr>
      </w:pPr>
      <w:r>
        <w:rPr>
          <w:rFonts w:ascii="Arial" w:hAnsi="Arial" w:cs="Arial"/>
        </w:rPr>
        <w:t xml:space="preserve">The </w:t>
      </w:r>
      <w:r w:rsidR="00435A98">
        <w:rPr>
          <w:rFonts w:ascii="Arial" w:hAnsi="Arial" w:cs="Arial"/>
        </w:rPr>
        <w:t xml:space="preserve">Secretary of Defense designates this position as one of the general officer positions to be excluded from the limitations of section 526a of </w:t>
      </w:r>
      <w:r w:rsidR="00160D0D">
        <w:rPr>
          <w:rFonts w:ascii="Arial" w:hAnsi="Arial" w:cs="Arial"/>
        </w:rPr>
        <w:t>Title</w:t>
      </w:r>
      <w:r w:rsidR="00435A98">
        <w:rPr>
          <w:rFonts w:ascii="Arial" w:hAnsi="Arial" w:cs="Arial"/>
        </w:rPr>
        <w:t xml:space="preserve"> 10.</w:t>
      </w:r>
    </w:p>
    <w:p w14:paraId="53808D8E" w14:textId="77777777" w:rsidR="00802019" w:rsidRPr="00435A98" w:rsidRDefault="00802019" w:rsidP="00802019">
      <w:pPr>
        <w:pStyle w:val="ListParagraph"/>
        <w:rPr>
          <w:rFonts w:ascii="Arial" w:hAnsi="Arial" w:cs="Arial"/>
        </w:rPr>
      </w:pPr>
    </w:p>
    <w:p w14:paraId="12946C67" w14:textId="51C8E349" w:rsidR="00802019" w:rsidRPr="00435A98" w:rsidRDefault="00D0758E" w:rsidP="00802019">
      <w:pPr>
        <w:pStyle w:val="ListParagraph"/>
        <w:numPr>
          <w:ilvl w:val="0"/>
          <w:numId w:val="34"/>
        </w:numPr>
        <w:rPr>
          <w:rFonts w:ascii="Arial" w:hAnsi="Arial" w:cs="Arial"/>
        </w:rPr>
      </w:pPr>
      <w:r>
        <w:rPr>
          <w:rFonts w:ascii="Arial" w:hAnsi="Arial" w:cs="Arial"/>
        </w:rPr>
        <w:t>DOES NOT r</w:t>
      </w:r>
      <w:r w:rsidR="00802019" w:rsidRPr="00435A98">
        <w:rPr>
          <w:rFonts w:ascii="Arial" w:hAnsi="Arial" w:cs="Arial"/>
        </w:rPr>
        <w:t>equire</w:t>
      </w:r>
      <w:r>
        <w:rPr>
          <w:rFonts w:ascii="Arial" w:hAnsi="Arial" w:cs="Arial"/>
        </w:rPr>
        <w:t xml:space="preserve"> </w:t>
      </w:r>
      <w:r w:rsidR="00802019" w:rsidRPr="00435A98">
        <w:rPr>
          <w:rFonts w:ascii="Arial" w:hAnsi="Arial" w:cs="Arial"/>
        </w:rPr>
        <w:t xml:space="preserve">the Secretary of Defense to alternate appointments of deputy commanders for certain combatant commands between officers of the National Guard and the Reserves no less frequently than every two terms. </w:t>
      </w:r>
    </w:p>
    <w:bookmarkEnd w:id="0"/>
    <w:p w14:paraId="2AB4D665" w14:textId="77777777" w:rsidR="00741C86" w:rsidRPr="009A1744" w:rsidRDefault="00741C86" w:rsidP="00A24569">
      <w:pPr>
        <w:rPr>
          <w:rFonts w:ascii="Arial" w:hAnsi="Arial" w:cs="Arial"/>
          <w:highlight w:val="yellow"/>
        </w:rPr>
      </w:pPr>
    </w:p>
    <w:p w14:paraId="31619E4A" w14:textId="4FF50EEF" w:rsidR="00352DDD" w:rsidRPr="00CB427B" w:rsidRDefault="007E3F82" w:rsidP="002A552E">
      <w:pPr>
        <w:rPr>
          <w:rFonts w:ascii="Arial" w:hAnsi="Arial" w:cs="Arial"/>
          <w:b/>
          <w:color w:val="5E6E3F"/>
          <w:sz w:val="24"/>
          <w:szCs w:val="28"/>
        </w:rPr>
      </w:pPr>
      <w:bookmarkStart w:id="1" w:name="_Hlk140064270"/>
      <w:bookmarkStart w:id="2" w:name="_Hlk152861332"/>
      <w:r w:rsidRPr="00CB427B">
        <w:rPr>
          <w:rFonts w:ascii="Arial" w:hAnsi="Arial" w:cs="Arial"/>
          <w:b/>
          <w:color w:val="5E6E3F"/>
          <w:sz w:val="24"/>
          <w:szCs w:val="28"/>
        </w:rPr>
        <w:t>Army National Guard</w:t>
      </w:r>
    </w:p>
    <w:bookmarkEnd w:id="1"/>
    <w:p w14:paraId="09024BC9" w14:textId="77777777" w:rsidR="00D827A1" w:rsidRPr="009A1744" w:rsidRDefault="00D827A1" w:rsidP="00D827A1">
      <w:pPr>
        <w:rPr>
          <w:rFonts w:ascii="Arial" w:hAnsi="Arial" w:cs="Arial"/>
          <w:highlight w:val="yellow"/>
        </w:rPr>
      </w:pPr>
    </w:p>
    <w:p w14:paraId="66635987" w14:textId="77777777" w:rsidR="00337396" w:rsidRDefault="00CB427B" w:rsidP="00337396">
      <w:pPr>
        <w:pStyle w:val="ListParagraph"/>
        <w:numPr>
          <w:ilvl w:val="1"/>
          <w:numId w:val="1"/>
        </w:numPr>
        <w:rPr>
          <w:rFonts w:ascii="Arial" w:hAnsi="Arial" w:cs="Arial"/>
        </w:rPr>
      </w:pPr>
      <w:r w:rsidRPr="00CB427B">
        <w:rPr>
          <w:rFonts w:ascii="Arial" w:hAnsi="Arial" w:cs="Arial"/>
        </w:rPr>
        <w:t>Authorizes</w:t>
      </w:r>
      <w:r w:rsidR="00D827A1" w:rsidRPr="00CB427B">
        <w:rPr>
          <w:rFonts w:ascii="Arial" w:hAnsi="Arial" w:cs="Arial"/>
        </w:rPr>
        <w:t xml:space="preserve"> funding for ARNG end strength </w:t>
      </w:r>
      <w:r w:rsidR="00660825" w:rsidRPr="00CB427B">
        <w:rPr>
          <w:rFonts w:ascii="Arial" w:hAnsi="Arial" w:cs="Arial"/>
        </w:rPr>
        <w:t xml:space="preserve">at </w:t>
      </w:r>
      <w:r w:rsidR="001026F1" w:rsidRPr="00CB427B">
        <w:rPr>
          <w:rFonts w:ascii="Arial" w:hAnsi="Arial" w:cs="Arial"/>
        </w:rPr>
        <w:t>325,000</w:t>
      </w:r>
      <w:r w:rsidR="00660825" w:rsidRPr="00CB427B">
        <w:rPr>
          <w:rFonts w:ascii="Arial" w:hAnsi="Arial" w:cs="Arial"/>
        </w:rPr>
        <w:t xml:space="preserve"> </w:t>
      </w:r>
      <w:r w:rsidR="00757360" w:rsidRPr="00CB427B">
        <w:rPr>
          <w:rFonts w:ascii="Arial" w:hAnsi="Arial" w:cs="Arial"/>
        </w:rPr>
        <w:t>Soldiers.</w:t>
      </w:r>
    </w:p>
    <w:p w14:paraId="45DB9BF4" w14:textId="464BD626" w:rsidR="002074B0" w:rsidRPr="00337396" w:rsidRDefault="00D735B2" w:rsidP="00337396">
      <w:pPr>
        <w:pStyle w:val="ListParagraph"/>
        <w:numPr>
          <w:ilvl w:val="2"/>
          <w:numId w:val="1"/>
        </w:numPr>
        <w:rPr>
          <w:rFonts w:ascii="Arial" w:hAnsi="Arial" w:cs="Arial"/>
        </w:rPr>
      </w:pPr>
      <w:r w:rsidRPr="00337396">
        <w:rPr>
          <w:rFonts w:ascii="Arial" w:hAnsi="Arial" w:cs="Arial"/>
        </w:rPr>
        <w:t>Consistent with PB Request</w:t>
      </w:r>
      <w:r w:rsidR="001026F1" w:rsidRPr="00337396">
        <w:rPr>
          <w:rFonts w:ascii="Arial" w:hAnsi="Arial" w:cs="Arial"/>
        </w:rPr>
        <w:t xml:space="preserve"> and FY23 </w:t>
      </w:r>
    </w:p>
    <w:p w14:paraId="0424AA81" w14:textId="77777777" w:rsidR="001026F1" w:rsidRPr="009A1744" w:rsidRDefault="001026F1" w:rsidP="001026F1">
      <w:pPr>
        <w:pStyle w:val="ListParagraph"/>
        <w:ind w:left="1080"/>
        <w:rPr>
          <w:rFonts w:ascii="Arial" w:hAnsi="Arial" w:cs="Arial"/>
          <w:highlight w:val="yellow"/>
        </w:rPr>
      </w:pPr>
    </w:p>
    <w:p w14:paraId="336BC96A" w14:textId="55DB6D6A" w:rsidR="0041194B" w:rsidRPr="00D45EBC" w:rsidRDefault="0041194B" w:rsidP="0041194B">
      <w:pPr>
        <w:pStyle w:val="ListParagraph"/>
        <w:numPr>
          <w:ilvl w:val="1"/>
          <w:numId w:val="1"/>
        </w:numPr>
        <w:rPr>
          <w:rFonts w:ascii="Arial" w:hAnsi="Arial" w:cs="Arial"/>
        </w:rPr>
      </w:pPr>
      <w:r w:rsidRPr="00D45EBC">
        <w:rPr>
          <w:rFonts w:ascii="Arial" w:hAnsi="Arial" w:cs="Arial"/>
        </w:rPr>
        <w:t>$828.</w:t>
      </w:r>
      <w:r w:rsidR="00A25F68" w:rsidRPr="00D45EBC">
        <w:rPr>
          <w:rFonts w:ascii="Arial" w:hAnsi="Arial" w:cs="Arial"/>
        </w:rPr>
        <w:t>9</w:t>
      </w:r>
      <w:r w:rsidR="00337396">
        <w:rPr>
          <w:rFonts w:ascii="Arial" w:hAnsi="Arial" w:cs="Arial"/>
        </w:rPr>
        <w:t>M</w:t>
      </w:r>
      <w:r w:rsidR="003232D7" w:rsidRPr="00D45EBC">
        <w:rPr>
          <w:rFonts w:ascii="Arial" w:hAnsi="Arial" w:cs="Arial"/>
        </w:rPr>
        <w:t xml:space="preserve"> </w:t>
      </w:r>
      <w:r w:rsidRPr="00D45EBC">
        <w:rPr>
          <w:rFonts w:ascii="Arial" w:hAnsi="Arial" w:cs="Arial"/>
        </w:rPr>
        <w:t xml:space="preserve">for </w:t>
      </w:r>
      <w:r w:rsidR="0082379F" w:rsidRPr="00D45EBC">
        <w:rPr>
          <w:rFonts w:ascii="Arial" w:hAnsi="Arial" w:cs="Arial"/>
        </w:rPr>
        <w:t xml:space="preserve">42 </w:t>
      </w:r>
      <w:r w:rsidRPr="00D45EBC">
        <w:rPr>
          <w:rFonts w:ascii="Arial" w:hAnsi="Arial" w:cs="Arial"/>
        </w:rPr>
        <w:t xml:space="preserve">AH-64 Apache Block IIIA helicopters. </w:t>
      </w:r>
    </w:p>
    <w:p w14:paraId="77F0FA1C" w14:textId="77777777" w:rsidR="0041194B" w:rsidRPr="009A1744" w:rsidRDefault="0041194B" w:rsidP="0041194B">
      <w:pPr>
        <w:pStyle w:val="ListParagraph"/>
        <w:rPr>
          <w:rFonts w:ascii="Arial" w:hAnsi="Arial" w:cs="Arial"/>
          <w:highlight w:val="yellow"/>
        </w:rPr>
      </w:pPr>
    </w:p>
    <w:p w14:paraId="042697C0" w14:textId="68EC3ACA" w:rsidR="0041194B" w:rsidRPr="00160D0D" w:rsidRDefault="0041194B" w:rsidP="0041194B">
      <w:pPr>
        <w:pStyle w:val="ListParagraph"/>
        <w:numPr>
          <w:ilvl w:val="1"/>
          <w:numId w:val="1"/>
        </w:numPr>
        <w:rPr>
          <w:rFonts w:ascii="Arial" w:hAnsi="Arial" w:cs="Arial"/>
        </w:rPr>
      </w:pPr>
      <w:r w:rsidRPr="00160D0D">
        <w:rPr>
          <w:rFonts w:ascii="Arial" w:hAnsi="Arial" w:cs="Arial"/>
        </w:rPr>
        <w:t>$55</w:t>
      </w:r>
      <w:r w:rsidR="00A25F68" w:rsidRPr="00160D0D">
        <w:rPr>
          <w:rFonts w:ascii="Arial" w:hAnsi="Arial" w:cs="Arial"/>
        </w:rPr>
        <w:t>4.7</w:t>
      </w:r>
      <w:r w:rsidR="00337396">
        <w:rPr>
          <w:rFonts w:ascii="Arial" w:hAnsi="Arial" w:cs="Arial"/>
        </w:rPr>
        <w:t>M</w:t>
      </w:r>
      <w:r w:rsidRPr="00160D0D">
        <w:rPr>
          <w:rFonts w:ascii="Arial" w:hAnsi="Arial" w:cs="Arial"/>
        </w:rPr>
        <w:t xml:space="preserve"> for </w:t>
      </w:r>
      <w:r w:rsidR="00160D0D" w:rsidRPr="00160D0D">
        <w:rPr>
          <w:rFonts w:ascii="Arial" w:hAnsi="Arial" w:cs="Arial"/>
        </w:rPr>
        <w:t xml:space="preserve">91 </w:t>
      </w:r>
      <w:r w:rsidRPr="00160D0D">
        <w:rPr>
          <w:rFonts w:ascii="Arial" w:hAnsi="Arial" w:cs="Arial"/>
        </w:rPr>
        <w:t>Armored Multi-Purpose Vehicles (AMPV).</w:t>
      </w:r>
    </w:p>
    <w:p w14:paraId="15175075" w14:textId="77777777" w:rsidR="0041194B" w:rsidRPr="009A1744" w:rsidRDefault="0041194B" w:rsidP="0041194B">
      <w:pPr>
        <w:rPr>
          <w:rFonts w:ascii="Arial" w:hAnsi="Arial" w:cs="Arial"/>
          <w:highlight w:val="yellow"/>
        </w:rPr>
      </w:pPr>
    </w:p>
    <w:p w14:paraId="0977D634" w14:textId="06C53698" w:rsidR="003A751F" w:rsidRPr="00160D0D" w:rsidRDefault="0041194B" w:rsidP="0041194B">
      <w:pPr>
        <w:pStyle w:val="ListParagraph"/>
        <w:numPr>
          <w:ilvl w:val="1"/>
          <w:numId w:val="1"/>
        </w:numPr>
        <w:rPr>
          <w:rFonts w:ascii="Arial" w:hAnsi="Arial" w:cs="Arial"/>
        </w:rPr>
      </w:pPr>
      <w:r w:rsidRPr="00160D0D">
        <w:rPr>
          <w:rFonts w:ascii="Arial" w:hAnsi="Arial" w:cs="Arial"/>
        </w:rPr>
        <w:t>$760.</w:t>
      </w:r>
      <w:r w:rsidR="00A25F68" w:rsidRPr="00160D0D">
        <w:rPr>
          <w:rFonts w:ascii="Arial" w:hAnsi="Arial" w:cs="Arial"/>
        </w:rPr>
        <w:t>75</w:t>
      </w:r>
      <w:r w:rsidR="00337396">
        <w:rPr>
          <w:rFonts w:ascii="Arial" w:hAnsi="Arial" w:cs="Arial"/>
        </w:rPr>
        <w:t xml:space="preserve">M </w:t>
      </w:r>
      <w:r w:rsidRPr="00160D0D">
        <w:rPr>
          <w:rFonts w:ascii="Arial" w:hAnsi="Arial" w:cs="Arial"/>
        </w:rPr>
        <w:t>for</w:t>
      </w:r>
      <w:r w:rsidR="0082379F" w:rsidRPr="00160D0D">
        <w:rPr>
          <w:rFonts w:ascii="Arial" w:hAnsi="Arial" w:cs="Arial"/>
        </w:rPr>
        <w:t xml:space="preserve"> 24</w:t>
      </w:r>
      <w:r w:rsidRPr="00160D0D">
        <w:rPr>
          <w:rFonts w:ascii="Arial" w:hAnsi="Arial" w:cs="Arial"/>
        </w:rPr>
        <w:t xml:space="preserve"> UH-60M Black Hawk helicopters.</w:t>
      </w:r>
      <w:r w:rsidR="003A751F" w:rsidRPr="00160D0D">
        <w:rPr>
          <w:rFonts w:ascii="Arial" w:hAnsi="Arial" w:cs="Arial"/>
        </w:rPr>
        <w:t xml:space="preserve"> </w:t>
      </w:r>
    </w:p>
    <w:p w14:paraId="4343AD90" w14:textId="06D17949" w:rsidR="0041194B" w:rsidRPr="009A1744" w:rsidRDefault="0041194B" w:rsidP="0041194B">
      <w:pPr>
        <w:rPr>
          <w:rFonts w:ascii="Arial" w:hAnsi="Arial" w:cs="Arial"/>
          <w:highlight w:val="yellow"/>
        </w:rPr>
      </w:pPr>
    </w:p>
    <w:p w14:paraId="58870CCC" w14:textId="52C741B1" w:rsidR="0041194B" w:rsidRPr="00160D0D" w:rsidRDefault="0041194B" w:rsidP="0041194B">
      <w:pPr>
        <w:pStyle w:val="ListParagraph"/>
        <w:numPr>
          <w:ilvl w:val="1"/>
          <w:numId w:val="1"/>
        </w:numPr>
        <w:rPr>
          <w:rFonts w:ascii="Arial" w:hAnsi="Arial" w:cs="Arial"/>
        </w:rPr>
      </w:pPr>
      <w:r w:rsidRPr="00160D0D">
        <w:rPr>
          <w:rFonts w:ascii="Arial" w:hAnsi="Arial" w:cs="Arial"/>
        </w:rPr>
        <w:t>$153.</w:t>
      </w:r>
      <w:r w:rsidR="006E2B04" w:rsidRPr="00160D0D">
        <w:rPr>
          <w:rFonts w:ascii="Arial" w:hAnsi="Arial" w:cs="Arial"/>
        </w:rPr>
        <w:t>2</w:t>
      </w:r>
      <w:r w:rsidR="00337396">
        <w:rPr>
          <w:rFonts w:ascii="Arial" w:hAnsi="Arial" w:cs="Arial"/>
        </w:rPr>
        <w:t>M</w:t>
      </w:r>
      <w:r w:rsidR="003232D7" w:rsidRPr="00160D0D">
        <w:rPr>
          <w:rFonts w:ascii="Arial" w:hAnsi="Arial" w:cs="Arial"/>
        </w:rPr>
        <w:t xml:space="preserve"> for</w:t>
      </w:r>
      <w:r w:rsidR="0082379F" w:rsidRPr="00160D0D">
        <w:rPr>
          <w:rFonts w:ascii="Arial" w:hAnsi="Arial" w:cs="Arial"/>
        </w:rPr>
        <w:t xml:space="preserve"> 26</w:t>
      </w:r>
      <w:r w:rsidR="003232D7" w:rsidRPr="00160D0D">
        <w:rPr>
          <w:rFonts w:ascii="Arial" w:hAnsi="Arial" w:cs="Arial"/>
        </w:rPr>
        <w:t xml:space="preserve"> </w:t>
      </w:r>
      <w:r w:rsidRPr="00160D0D">
        <w:rPr>
          <w:rFonts w:ascii="Arial" w:hAnsi="Arial" w:cs="Arial"/>
        </w:rPr>
        <w:t>UH-60 Black Hawk L and V model helicopters</w:t>
      </w:r>
      <w:r w:rsidR="00744BEB" w:rsidRPr="00160D0D">
        <w:rPr>
          <w:rFonts w:ascii="Arial" w:hAnsi="Arial" w:cs="Arial"/>
        </w:rPr>
        <w:t>.</w:t>
      </w:r>
    </w:p>
    <w:p w14:paraId="7443DF5D" w14:textId="77777777" w:rsidR="00513A9E" w:rsidRPr="009A1744" w:rsidRDefault="00513A9E" w:rsidP="00513A9E">
      <w:pPr>
        <w:pStyle w:val="ListParagraph"/>
        <w:rPr>
          <w:rFonts w:ascii="Arial" w:hAnsi="Arial" w:cs="Arial"/>
          <w:highlight w:val="yellow"/>
        </w:rPr>
      </w:pPr>
    </w:p>
    <w:p w14:paraId="639F6072" w14:textId="3F7BC956" w:rsidR="00513A9E" w:rsidRPr="00160D0D" w:rsidRDefault="00513A9E" w:rsidP="0041194B">
      <w:pPr>
        <w:pStyle w:val="ListParagraph"/>
        <w:numPr>
          <w:ilvl w:val="1"/>
          <w:numId w:val="1"/>
        </w:numPr>
        <w:rPr>
          <w:rFonts w:ascii="Arial" w:hAnsi="Arial" w:cs="Arial"/>
        </w:rPr>
      </w:pPr>
      <w:r w:rsidRPr="00160D0D">
        <w:rPr>
          <w:rFonts w:ascii="Arial" w:hAnsi="Arial" w:cs="Arial"/>
        </w:rPr>
        <w:t>$25.9</w:t>
      </w:r>
      <w:r w:rsidR="00337396">
        <w:rPr>
          <w:rFonts w:ascii="Arial" w:hAnsi="Arial" w:cs="Arial"/>
        </w:rPr>
        <w:t>M</w:t>
      </w:r>
      <w:r w:rsidRPr="00160D0D">
        <w:rPr>
          <w:rFonts w:ascii="Arial" w:hAnsi="Arial" w:cs="Arial"/>
        </w:rPr>
        <w:t xml:space="preserve"> for High Mobility Multipurpose Wheeled Vehicle (HMMWV)</w:t>
      </w:r>
      <w:r w:rsidR="00744BEB" w:rsidRPr="00160D0D">
        <w:rPr>
          <w:rFonts w:ascii="Arial" w:hAnsi="Arial" w:cs="Arial"/>
        </w:rPr>
        <w:t>.</w:t>
      </w:r>
    </w:p>
    <w:p w14:paraId="3190ADD1" w14:textId="77777777" w:rsidR="00513A9E" w:rsidRPr="009A1744" w:rsidRDefault="00513A9E" w:rsidP="00513A9E">
      <w:pPr>
        <w:pStyle w:val="ListParagraph"/>
        <w:rPr>
          <w:rFonts w:ascii="Arial" w:hAnsi="Arial" w:cs="Arial"/>
          <w:highlight w:val="yellow"/>
        </w:rPr>
      </w:pPr>
    </w:p>
    <w:p w14:paraId="415E7162" w14:textId="76308EE3" w:rsidR="00744BEB" w:rsidRDefault="00513A9E" w:rsidP="006D3B39">
      <w:pPr>
        <w:pStyle w:val="ListParagraph"/>
        <w:numPr>
          <w:ilvl w:val="1"/>
          <w:numId w:val="1"/>
        </w:numPr>
        <w:rPr>
          <w:rFonts w:ascii="Arial" w:hAnsi="Arial" w:cs="Arial"/>
        </w:rPr>
      </w:pPr>
      <w:r w:rsidRPr="00560B4D">
        <w:rPr>
          <w:rFonts w:ascii="Arial" w:hAnsi="Arial" w:cs="Arial"/>
        </w:rPr>
        <w:t>$</w:t>
      </w:r>
      <w:r w:rsidR="00560B4D" w:rsidRPr="00560B4D">
        <w:rPr>
          <w:rFonts w:ascii="Arial" w:hAnsi="Arial" w:cs="Arial"/>
        </w:rPr>
        <w:t>421.4</w:t>
      </w:r>
      <w:r w:rsidR="00337396">
        <w:rPr>
          <w:rFonts w:ascii="Arial" w:hAnsi="Arial" w:cs="Arial"/>
        </w:rPr>
        <w:t xml:space="preserve">M </w:t>
      </w:r>
      <w:r w:rsidRPr="00560B4D">
        <w:rPr>
          <w:rFonts w:ascii="Arial" w:hAnsi="Arial" w:cs="Arial"/>
        </w:rPr>
        <w:t>for CH-47</w:t>
      </w:r>
      <w:r w:rsidR="00744BEB" w:rsidRPr="00560B4D">
        <w:rPr>
          <w:rFonts w:ascii="Arial" w:hAnsi="Arial" w:cs="Arial"/>
        </w:rPr>
        <w:t xml:space="preserve"> Chinook</w:t>
      </w:r>
      <w:r w:rsidRPr="00560B4D">
        <w:rPr>
          <w:rFonts w:ascii="Arial" w:hAnsi="Arial" w:cs="Arial"/>
        </w:rPr>
        <w:t xml:space="preserve"> </w:t>
      </w:r>
      <w:r w:rsidR="00744BEB" w:rsidRPr="00560B4D">
        <w:rPr>
          <w:rFonts w:ascii="Arial" w:hAnsi="Arial" w:cs="Arial"/>
        </w:rPr>
        <w:t>h</w:t>
      </w:r>
      <w:r w:rsidRPr="00560B4D">
        <w:rPr>
          <w:rFonts w:ascii="Arial" w:hAnsi="Arial" w:cs="Arial"/>
        </w:rPr>
        <w:t>elicopters</w:t>
      </w:r>
      <w:r w:rsidR="00560B4D">
        <w:rPr>
          <w:rFonts w:ascii="Arial" w:hAnsi="Arial" w:cs="Arial"/>
        </w:rPr>
        <w:t>.</w:t>
      </w:r>
    </w:p>
    <w:p w14:paraId="7AEFD326" w14:textId="77777777" w:rsidR="00560B4D" w:rsidRPr="00560B4D" w:rsidRDefault="00560B4D" w:rsidP="00560B4D">
      <w:pPr>
        <w:pStyle w:val="ListParagraph"/>
        <w:rPr>
          <w:rFonts w:ascii="Arial" w:hAnsi="Arial" w:cs="Arial"/>
        </w:rPr>
      </w:pPr>
    </w:p>
    <w:p w14:paraId="664B89BC" w14:textId="7B0F88B0" w:rsidR="00560B4D" w:rsidRDefault="00160D0D" w:rsidP="006D3B39">
      <w:pPr>
        <w:pStyle w:val="ListParagraph"/>
        <w:numPr>
          <w:ilvl w:val="1"/>
          <w:numId w:val="1"/>
        </w:numPr>
        <w:rPr>
          <w:rFonts w:ascii="Arial" w:hAnsi="Arial" w:cs="Arial"/>
        </w:rPr>
      </w:pPr>
      <w:r>
        <w:rPr>
          <w:rFonts w:ascii="Arial" w:hAnsi="Arial" w:cs="Arial"/>
        </w:rPr>
        <w:t>$</w:t>
      </w:r>
      <w:r w:rsidR="00560B4D">
        <w:rPr>
          <w:rFonts w:ascii="Arial" w:hAnsi="Arial" w:cs="Arial"/>
        </w:rPr>
        <w:t>20</w:t>
      </w:r>
      <w:r w:rsidR="00337396">
        <w:rPr>
          <w:rFonts w:ascii="Arial" w:hAnsi="Arial" w:cs="Arial"/>
        </w:rPr>
        <w:t>M</w:t>
      </w:r>
      <w:r w:rsidR="00560B4D">
        <w:rPr>
          <w:rFonts w:ascii="Arial" w:hAnsi="Arial" w:cs="Arial"/>
        </w:rPr>
        <w:t xml:space="preserve"> for 2 UH-72B Lakota helicopter</w:t>
      </w:r>
      <w:r w:rsidR="00D45EAD">
        <w:rPr>
          <w:rFonts w:ascii="Arial" w:hAnsi="Arial" w:cs="Arial"/>
        </w:rPr>
        <w:t>s</w:t>
      </w:r>
      <w:r w:rsidR="00560B4D">
        <w:rPr>
          <w:rFonts w:ascii="Arial" w:hAnsi="Arial" w:cs="Arial"/>
        </w:rPr>
        <w:t xml:space="preserve">. </w:t>
      </w:r>
    </w:p>
    <w:p w14:paraId="10054205" w14:textId="77777777" w:rsidR="00560B4D" w:rsidRPr="00560B4D" w:rsidRDefault="00560B4D" w:rsidP="00560B4D">
      <w:pPr>
        <w:pStyle w:val="ListParagraph"/>
        <w:rPr>
          <w:rFonts w:ascii="Arial" w:hAnsi="Arial" w:cs="Arial"/>
        </w:rPr>
      </w:pPr>
    </w:p>
    <w:p w14:paraId="687FF5CA" w14:textId="1DFBC239" w:rsidR="00560B4D" w:rsidRPr="00560B4D" w:rsidRDefault="00560B4D" w:rsidP="006D3B39">
      <w:pPr>
        <w:pStyle w:val="ListParagraph"/>
        <w:numPr>
          <w:ilvl w:val="1"/>
          <w:numId w:val="1"/>
        </w:numPr>
        <w:rPr>
          <w:rFonts w:ascii="Arial" w:hAnsi="Arial" w:cs="Arial"/>
        </w:rPr>
      </w:pPr>
      <w:r>
        <w:rPr>
          <w:rFonts w:ascii="Arial" w:hAnsi="Arial" w:cs="Arial"/>
        </w:rPr>
        <w:t>$82.9</w:t>
      </w:r>
      <w:r w:rsidR="00337396">
        <w:rPr>
          <w:rFonts w:ascii="Arial" w:hAnsi="Arial" w:cs="Arial"/>
        </w:rPr>
        <w:t>M</w:t>
      </w:r>
      <w:r>
        <w:rPr>
          <w:rFonts w:ascii="Arial" w:hAnsi="Arial" w:cs="Arial"/>
        </w:rPr>
        <w:t xml:space="preserve"> for Gray Eagles. </w:t>
      </w:r>
    </w:p>
    <w:p w14:paraId="559334D2" w14:textId="77777777" w:rsidR="00560B4D" w:rsidRPr="00560B4D" w:rsidRDefault="00560B4D" w:rsidP="00560B4D">
      <w:pPr>
        <w:rPr>
          <w:rFonts w:ascii="Arial" w:hAnsi="Arial" w:cs="Arial"/>
          <w:highlight w:val="yellow"/>
        </w:rPr>
      </w:pPr>
    </w:p>
    <w:p w14:paraId="21547D7A" w14:textId="5E56C8F7" w:rsidR="00744BEB" w:rsidRPr="00560B4D" w:rsidRDefault="00744BEB" w:rsidP="00744BEB">
      <w:pPr>
        <w:pStyle w:val="ListParagraph"/>
        <w:numPr>
          <w:ilvl w:val="1"/>
          <w:numId w:val="1"/>
        </w:numPr>
        <w:rPr>
          <w:rFonts w:ascii="Arial" w:hAnsi="Arial" w:cs="Arial"/>
        </w:rPr>
      </w:pPr>
      <w:r w:rsidRPr="00560B4D">
        <w:rPr>
          <w:rFonts w:ascii="Arial" w:hAnsi="Arial" w:cs="Arial"/>
        </w:rPr>
        <w:t>$5.2</w:t>
      </w:r>
      <w:r w:rsidR="00337396">
        <w:rPr>
          <w:rFonts w:ascii="Arial" w:hAnsi="Arial" w:cs="Arial"/>
        </w:rPr>
        <w:t>M</w:t>
      </w:r>
      <w:r w:rsidRPr="00560B4D">
        <w:rPr>
          <w:rFonts w:ascii="Arial" w:hAnsi="Arial" w:cs="Arial"/>
        </w:rPr>
        <w:t xml:space="preserve"> for Bradley Fire Support Team (BFIST).</w:t>
      </w:r>
    </w:p>
    <w:p w14:paraId="4E7B4A39" w14:textId="77777777" w:rsidR="00744BEB" w:rsidRPr="009A1744" w:rsidRDefault="00744BEB" w:rsidP="00744BEB">
      <w:pPr>
        <w:pStyle w:val="ListParagraph"/>
        <w:rPr>
          <w:rFonts w:ascii="Arial" w:hAnsi="Arial" w:cs="Arial"/>
          <w:highlight w:val="yellow"/>
        </w:rPr>
      </w:pPr>
    </w:p>
    <w:p w14:paraId="7485DCFA" w14:textId="41938449" w:rsidR="00744BEB" w:rsidRPr="00560A37" w:rsidRDefault="00744BEB" w:rsidP="00744BEB">
      <w:pPr>
        <w:pStyle w:val="ListParagraph"/>
        <w:numPr>
          <w:ilvl w:val="1"/>
          <w:numId w:val="1"/>
        </w:numPr>
        <w:rPr>
          <w:rFonts w:ascii="Arial" w:hAnsi="Arial" w:cs="Arial"/>
        </w:rPr>
      </w:pPr>
      <w:r w:rsidRPr="00560A37">
        <w:rPr>
          <w:rFonts w:ascii="Arial" w:hAnsi="Arial" w:cs="Arial"/>
        </w:rPr>
        <w:t>$</w:t>
      </w:r>
      <w:r w:rsidR="00560A37" w:rsidRPr="00560A37">
        <w:rPr>
          <w:rFonts w:ascii="Arial" w:hAnsi="Arial" w:cs="Arial"/>
        </w:rPr>
        <w:t>749.7</w:t>
      </w:r>
      <w:r w:rsidR="00337396">
        <w:rPr>
          <w:rFonts w:ascii="Arial" w:hAnsi="Arial" w:cs="Arial"/>
        </w:rPr>
        <w:t>M</w:t>
      </w:r>
      <w:r w:rsidRPr="00560A37">
        <w:rPr>
          <w:rFonts w:ascii="Arial" w:hAnsi="Arial" w:cs="Arial"/>
        </w:rPr>
        <w:t xml:space="preserve"> for Stryker Upgrade</w:t>
      </w:r>
      <w:r w:rsidR="00560A37">
        <w:rPr>
          <w:rFonts w:ascii="Arial" w:hAnsi="Arial" w:cs="Arial"/>
        </w:rPr>
        <w:t>, a $140</w:t>
      </w:r>
      <w:r w:rsidR="00337396">
        <w:rPr>
          <w:rFonts w:ascii="Arial" w:hAnsi="Arial" w:cs="Arial"/>
        </w:rPr>
        <w:t>M</w:t>
      </w:r>
      <w:r w:rsidR="00560A37">
        <w:rPr>
          <w:rFonts w:ascii="Arial" w:hAnsi="Arial" w:cs="Arial"/>
        </w:rPr>
        <w:t xml:space="preserve"> increase from the PB</w:t>
      </w:r>
      <w:r w:rsidRPr="00560A37">
        <w:rPr>
          <w:rFonts w:ascii="Arial" w:hAnsi="Arial" w:cs="Arial"/>
        </w:rPr>
        <w:t xml:space="preserve">. </w:t>
      </w:r>
    </w:p>
    <w:p w14:paraId="0EB68BED" w14:textId="77777777" w:rsidR="005E2327" w:rsidRPr="009A1744" w:rsidRDefault="005E2327" w:rsidP="005E2327">
      <w:pPr>
        <w:pStyle w:val="ListParagraph"/>
        <w:rPr>
          <w:rFonts w:ascii="Arial" w:hAnsi="Arial" w:cs="Arial"/>
          <w:highlight w:val="yellow"/>
        </w:rPr>
      </w:pPr>
    </w:p>
    <w:p w14:paraId="5C464449" w14:textId="5B5808B9" w:rsidR="005E2327" w:rsidRPr="00560A37" w:rsidRDefault="005E2327" w:rsidP="00744BEB">
      <w:pPr>
        <w:pStyle w:val="ListParagraph"/>
        <w:numPr>
          <w:ilvl w:val="1"/>
          <w:numId w:val="1"/>
        </w:numPr>
        <w:rPr>
          <w:rFonts w:ascii="Arial" w:hAnsi="Arial" w:cs="Arial"/>
        </w:rPr>
      </w:pPr>
      <w:r w:rsidRPr="00560A37">
        <w:rPr>
          <w:rFonts w:ascii="Arial" w:hAnsi="Arial" w:cs="Arial"/>
        </w:rPr>
        <w:t>$</w:t>
      </w:r>
      <w:r w:rsidR="00560A37" w:rsidRPr="00560A37">
        <w:rPr>
          <w:rFonts w:ascii="Arial" w:hAnsi="Arial" w:cs="Arial"/>
        </w:rPr>
        <w:t>1.34</w:t>
      </w:r>
      <w:r w:rsidR="00337396">
        <w:rPr>
          <w:rFonts w:ascii="Arial" w:hAnsi="Arial" w:cs="Arial"/>
        </w:rPr>
        <w:t>B</w:t>
      </w:r>
      <w:r w:rsidRPr="00560A37">
        <w:rPr>
          <w:rFonts w:ascii="Arial" w:hAnsi="Arial" w:cs="Arial"/>
        </w:rPr>
        <w:t xml:space="preserve"> for Abrams </w:t>
      </w:r>
      <w:r w:rsidR="00A05568" w:rsidRPr="00560A37">
        <w:rPr>
          <w:rFonts w:ascii="Arial" w:hAnsi="Arial" w:cs="Arial"/>
        </w:rPr>
        <w:t>U</w:t>
      </w:r>
      <w:r w:rsidRPr="00560A37">
        <w:rPr>
          <w:rFonts w:ascii="Arial" w:hAnsi="Arial" w:cs="Arial"/>
        </w:rPr>
        <w:t xml:space="preserve">pgrade </w:t>
      </w:r>
      <w:r w:rsidR="00A05568" w:rsidRPr="00560A37">
        <w:rPr>
          <w:rFonts w:ascii="Arial" w:hAnsi="Arial" w:cs="Arial"/>
        </w:rPr>
        <w:t>P</w:t>
      </w:r>
      <w:r w:rsidRPr="00560A37">
        <w:rPr>
          <w:rFonts w:ascii="Arial" w:hAnsi="Arial" w:cs="Arial"/>
        </w:rPr>
        <w:t>rogram</w:t>
      </w:r>
      <w:r w:rsidR="00560A37" w:rsidRPr="00560A37">
        <w:rPr>
          <w:rFonts w:ascii="Arial" w:hAnsi="Arial" w:cs="Arial"/>
        </w:rPr>
        <w:t>, a $532</w:t>
      </w:r>
      <w:r w:rsidR="00337396">
        <w:rPr>
          <w:rFonts w:ascii="Arial" w:hAnsi="Arial" w:cs="Arial"/>
        </w:rPr>
        <w:t>M</w:t>
      </w:r>
      <w:r w:rsidR="00560A37" w:rsidRPr="00560A37">
        <w:rPr>
          <w:rFonts w:ascii="Arial" w:hAnsi="Arial" w:cs="Arial"/>
        </w:rPr>
        <w:t xml:space="preserve"> increase from the PB</w:t>
      </w:r>
      <w:r w:rsidR="00A05568" w:rsidRPr="00560A37">
        <w:rPr>
          <w:rFonts w:ascii="Arial" w:hAnsi="Arial" w:cs="Arial"/>
        </w:rPr>
        <w:t>.</w:t>
      </w:r>
      <w:r w:rsidRPr="00560A37">
        <w:rPr>
          <w:rFonts w:ascii="Arial" w:hAnsi="Arial" w:cs="Arial"/>
        </w:rPr>
        <w:t xml:space="preserve"> </w:t>
      </w:r>
    </w:p>
    <w:p w14:paraId="3AEEAFDC" w14:textId="77777777" w:rsidR="00A05568" w:rsidRPr="009A1744" w:rsidRDefault="00A05568" w:rsidP="00A05568">
      <w:pPr>
        <w:pStyle w:val="ListParagraph"/>
        <w:rPr>
          <w:rFonts w:ascii="Arial" w:hAnsi="Arial" w:cs="Arial"/>
          <w:highlight w:val="yellow"/>
        </w:rPr>
      </w:pPr>
    </w:p>
    <w:p w14:paraId="6689437B" w14:textId="5B53878F" w:rsidR="00A05568" w:rsidRPr="00160D0D" w:rsidRDefault="00A05568" w:rsidP="00744BEB">
      <w:pPr>
        <w:pStyle w:val="ListParagraph"/>
        <w:numPr>
          <w:ilvl w:val="1"/>
          <w:numId w:val="1"/>
        </w:numPr>
        <w:rPr>
          <w:rFonts w:ascii="Arial" w:hAnsi="Arial" w:cs="Arial"/>
        </w:rPr>
      </w:pPr>
      <w:r w:rsidRPr="00160D0D">
        <w:rPr>
          <w:rFonts w:ascii="Arial" w:hAnsi="Arial" w:cs="Arial"/>
        </w:rPr>
        <w:t>$</w:t>
      </w:r>
      <w:r w:rsidR="00560A37" w:rsidRPr="00160D0D">
        <w:rPr>
          <w:rFonts w:ascii="Arial" w:hAnsi="Arial" w:cs="Arial"/>
        </w:rPr>
        <w:t>674.2</w:t>
      </w:r>
      <w:r w:rsidR="00337396">
        <w:rPr>
          <w:rFonts w:ascii="Arial" w:hAnsi="Arial" w:cs="Arial"/>
        </w:rPr>
        <w:t>M</w:t>
      </w:r>
      <w:r w:rsidRPr="00160D0D">
        <w:rPr>
          <w:rFonts w:ascii="Arial" w:hAnsi="Arial" w:cs="Arial"/>
        </w:rPr>
        <w:t xml:space="preserve"> for</w:t>
      </w:r>
      <w:r w:rsidR="00160D0D" w:rsidRPr="00160D0D">
        <w:rPr>
          <w:rFonts w:ascii="Arial" w:hAnsi="Arial" w:cs="Arial"/>
        </w:rPr>
        <w:t xml:space="preserve"> 35</w:t>
      </w:r>
      <w:r w:rsidRPr="00160D0D">
        <w:rPr>
          <w:rFonts w:ascii="Arial" w:hAnsi="Arial" w:cs="Arial"/>
        </w:rPr>
        <w:t xml:space="preserve"> Paladin Integrated Management Systems. </w:t>
      </w:r>
    </w:p>
    <w:bookmarkEnd w:id="2"/>
    <w:p w14:paraId="01362CCD" w14:textId="77777777" w:rsidR="00A05568" w:rsidRPr="009A1744" w:rsidRDefault="00A05568" w:rsidP="00A05568">
      <w:pPr>
        <w:pStyle w:val="ListParagraph"/>
        <w:rPr>
          <w:rFonts w:ascii="Arial" w:hAnsi="Arial" w:cs="Arial"/>
          <w:highlight w:val="yellow"/>
        </w:rPr>
      </w:pPr>
    </w:p>
    <w:p w14:paraId="6AB3684C" w14:textId="2E84576F" w:rsidR="00F3042D" w:rsidRPr="008A37C7" w:rsidRDefault="00A05568" w:rsidP="00292CE8">
      <w:pPr>
        <w:pStyle w:val="ListParagraph"/>
        <w:numPr>
          <w:ilvl w:val="1"/>
          <w:numId w:val="1"/>
        </w:numPr>
        <w:rPr>
          <w:rFonts w:ascii="Arial" w:hAnsi="Arial" w:cs="Arial"/>
        </w:rPr>
      </w:pPr>
      <w:r w:rsidRPr="008A37C7">
        <w:rPr>
          <w:rFonts w:ascii="Arial" w:hAnsi="Arial" w:cs="Arial"/>
        </w:rPr>
        <w:t>$</w:t>
      </w:r>
      <w:r w:rsidR="00450189" w:rsidRPr="008A37C7">
        <w:rPr>
          <w:rFonts w:ascii="Arial" w:hAnsi="Arial" w:cs="Arial"/>
        </w:rPr>
        <w:t>839.</w:t>
      </w:r>
      <w:r w:rsidR="008A37C7" w:rsidRPr="008A37C7">
        <w:rPr>
          <w:rFonts w:ascii="Arial" w:hAnsi="Arial" w:cs="Arial"/>
        </w:rPr>
        <w:t>4</w:t>
      </w:r>
      <w:r w:rsidR="00337396">
        <w:rPr>
          <w:rFonts w:ascii="Arial" w:hAnsi="Arial" w:cs="Arial"/>
        </w:rPr>
        <w:t>M</w:t>
      </w:r>
      <w:r w:rsidRPr="008A37C7">
        <w:rPr>
          <w:rFonts w:ascii="Arial" w:hAnsi="Arial" w:cs="Arial"/>
        </w:rPr>
        <w:t xml:space="preserve"> for Joint Light Tactical Vehicles (JLTVs). </w:t>
      </w:r>
    </w:p>
    <w:p w14:paraId="5066C2FC" w14:textId="77777777" w:rsidR="00427C26" w:rsidRPr="009A1744" w:rsidRDefault="00427C26" w:rsidP="00427C26">
      <w:pPr>
        <w:pStyle w:val="ListParagraph"/>
        <w:rPr>
          <w:rFonts w:ascii="Arial" w:hAnsi="Arial" w:cs="Arial"/>
          <w:highlight w:val="yellow"/>
        </w:rPr>
      </w:pPr>
    </w:p>
    <w:p w14:paraId="73A9B3E1" w14:textId="261B190A" w:rsidR="00427C26" w:rsidRPr="00435A98" w:rsidRDefault="00427C26" w:rsidP="00292CE8">
      <w:pPr>
        <w:pStyle w:val="ListParagraph"/>
        <w:numPr>
          <w:ilvl w:val="1"/>
          <w:numId w:val="1"/>
        </w:numPr>
        <w:rPr>
          <w:rFonts w:ascii="Arial" w:hAnsi="Arial" w:cs="Arial"/>
        </w:rPr>
      </w:pPr>
      <w:r w:rsidRPr="00435A98">
        <w:rPr>
          <w:rFonts w:ascii="Arial" w:hAnsi="Arial" w:cs="Arial"/>
        </w:rPr>
        <w:t>$</w:t>
      </w:r>
      <w:r w:rsidR="00435A98">
        <w:rPr>
          <w:rFonts w:ascii="Arial" w:hAnsi="Arial" w:cs="Arial"/>
        </w:rPr>
        <w:t>732.1</w:t>
      </w:r>
      <w:r w:rsidR="00337396">
        <w:rPr>
          <w:rFonts w:ascii="Arial" w:hAnsi="Arial" w:cs="Arial"/>
        </w:rPr>
        <w:t>M</w:t>
      </w:r>
      <w:r w:rsidRPr="00435A98">
        <w:rPr>
          <w:rFonts w:ascii="Arial" w:hAnsi="Arial" w:cs="Arial"/>
        </w:rPr>
        <w:t xml:space="preserve"> for ARNG MILCON.</w:t>
      </w:r>
    </w:p>
    <w:p w14:paraId="7EE35CCF" w14:textId="77777777" w:rsidR="001026F1" w:rsidRPr="009A1744" w:rsidRDefault="001026F1" w:rsidP="00A24569">
      <w:pPr>
        <w:rPr>
          <w:rFonts w:ascii="Arial" w:hAnsi="Arial" w:cs="Arial"/>
          <w:highlight w:val="yellow"/>
        </w:rPr>
      </w:pPr>
    </w:p>
    <w:p w14:paraId="7FB50AC4" w14:textId="074AB79A" w:rsidR="00F3042D" w:rsidRPr="00C83C89" w:rsidRDefault="00361067" w:rsidP="002A552E">
      <w:pPr>
        <w:rPr>
          <w:rFonts w:ascii="Arial" w:hAnsi="Arial" w:cs="Arial"/>
          <w:b/>
          <w:color w:val="406AAF"/>
          <w:sz w:val="24"/>
          <w:szCs w:val="28"/>
        </w:rPr>
      </w:pPr>
      <w:r w:rsidRPr="00C83C89">
        <w:rPr>
          <w:rFonts w:ascii="Arial" w:hAnsi="Arial" w:cs="Arial"/>
          <w:b/>
          <w:color w:val="406AAF"/>
          <w:sz w:val="24"/>
          <w:szCs w:val="28"/>
        </w:rPr>
        <w:t>Air National Guard</w:t>
      </w:r>
    </w:p>
    <w:p w14:paraId="5F6AF544" w14:textId="77777777" w:rsidR="00361067" w:rsidRPr="009A1744" w:rsidRDefault="00361067" w:rsidP="00361067">
      <w:pPr>
        <w:rPr>
          <w:rFonts w:ascii="Arial" w:hAnsi="Arial" w:cs="Arial"/>
          <w:highlight w:val="yellow"/>
        </w:rPr>
      </w:pPr>
    </w:p>
    <w:p w14:paraId="598D0CE3" w14:textId="23D78B75" w:rsidR="00D735B2" w:rsidRPr="00CB427B" w:rsidRDefault="00E841C9" w:rsidP="00361067">
      <w:pPr>
        <w:pStyle w:val="ListParagraph"/>
        <w:numPr>
          <w:ilvl w:val="1"/>
          <w:numId w:val="1"/>
        </w:numPr>
        <w:rPr>
          <w:rFonts w:ascii="Arial" w:hAnsi="Arial" w:cs="Arial"/>
        </w:rPr>
      </w:pPr>
      <w:bookmarkStart w:id="3" w:name="_Hlk152862442"/>
      <w:r w:rsidRPr="00CB427B">
        <w:rPr>
          <w:rFonts w:ascii="Arial" w:hAnsi="Arial" w:cs="Arial"/>
        </w:rPr>
        <w:t>Appropriates</w:t>
      </w:r>
      <w:r w:rsidR="00361067" w:rsidRPr="00CB427B">
        <w:rPr>
          <w:rFonts w:ascii="Arial" w:hAnsi="Arial" w:cs="Arial"/>
        </w:rPr>
        <w:t xml:space="preserve"> funding for ANG end strength at </w:t>
      </w:r>
      <w:r w:rsidR="001026F1" w:rsidRPr="00CB427B">
        <w:rPr>
          <w:rFonts w:ascii="Arial" w:hAnsi="Arial" w:cs="Arial"/>
        </w:rPr>
        <w:t>105,000</w:t>
      </w:r>
      <w:r w:rsidR="00361067" w:rsidRPr="00CB427B">
        <w:rPr>
          <w:rFonts w:ascii="Arial" w:hAnsi="Arial" w:cs="Arial"/>
        </w:rPr>
        <w:t xml:space="preserve"> </w:t>
      </w:r>
      <w:r w:rsidR="00C75EC7" w:rsidRPr="00CB427B">
        <w:rPr>
          <w:rFonts w:ascii="Arial" w:hAnsi="Arial" w:cs="Arial"/>
        </w:rPr>
        <w:t>Airmen.</w:t>
      </w:r>
      <w:r w:rsidR="00361067" w:rsidRPr="00CB427B">
        <w:rPr>
          <w:rFonts w:ascii="Arial" w:hAnsi="Arial" w:cs="Arial"/>
        </w:rPr>
        <w:t xml:space="preserve"> </w:t>
      </w:r>
    </w:p>
    <w:p w14:paraId="620D3BFC" w14:textId="77777777" w:rsidR="00D50FF4" w:rsidRPr="00CB427B" w:rsidRDefault="001026F1" w:rsidP="00D50FF4">
      <w:pPr>
        <w:pStyle w:val="ListParagraph"/>
        <w:numPr>
          <w:ilvl w:val="2"/>
          <w:numId w:val="1"/>
        </w:numPr>
        <w:rPr>
          <w:rFonts w:ascii="Arial" w:hAnsi="Arial" w:cs="Arial"/>
        </w:rPr>
      </w:pPr>
      <w:r w:rsidRPr="00CB427B">
        <w:rPr>
          <w:rFonts w:ascii="Arial" w:hAnsi="Arial" w:cs="Arial"/>
        </w:rPr>
        <w:t xml:space="preserve">3,400 less </w:t>
      </w:r>
      <w:r w:rsidR="00361067" w:rsidRPr="00CB427B">
        <w:rPr>
          <w:rFonts w:ascii="Arial" w:hAnsi="Arial" w:cs="Arial"/>
        </w:rPr>
        <w:t xml:space="preserve">than </w:t>
      </w:r>
      <w:r w:rsidR="009A380C" w:rsidRPr="00CB427B">
        <w:rPr>
          <w:rFonts w:ascii="Arial" w:hAnsi="Arial" w:cs="Arial"/>
        </w:rPr>
        <w:t>FY2</w:t>
      </w:r>
      <w:r w:rsidRPr="00CB427B">
        <w:rPr>
          <w:rFonts w:ascii="Arial" w:hAnsi="Arial" w:cs="Arial"/>
        </w:rPr>
        <w:t>3</w:t>
      </w:r>
      <w:r w:rsidR="00361067" w:rsidRPr="00CB427B">
        <w:rPr>
          <w:rFonts w:ascii="Arial" w:hAnsi="Arial" w:cs="Arial"/>
        </w:rPr>
        <w:t xml:space="preserve"> levels</w:t>
      </w:r>
      <w:r w:rsidRPr="00CB427B">
        <w:rPr>
          <w:rFonts w:ascii="Arial" w:hAnsi="Arial" w:cs="Arial"/>
        </w:rPr>
        <w:t xml:space="preserve"> and the PB </w:t>
      </w:r>
      <w:r w:rsidR="00D735B2" w:rsidRPr="00CB427B">
        <w:rPr>
          <w:rFonts w:ascii="Arial" w:hAnsi="Arial" w:cs="Arial"/>
        </w:rPr>
        <w:t>Request</w:t>
      </w:r>
    </w:p>
    <w:p w14:paraId="46883A95" w14:textId="77777777" w:rsidR="00D50FF4" w:rsidRPr="009A1744" w:rsidRDefault="00D50FF4" w:rsidP="00D50FF4">
      <w:pPr>
        <w:pStyle w:val="ListParagraph"/>
        <w:ind w:left="1080"/>
        <w:rPr>
          <w:rFonts w:ascii="Arial" w:hAnsi="Arial" w:cs="Arial"/>
          <w:highlight w:val="yellow"/>
        </w:rPr>
      </w:pPr>
    </w:p>
    <w:p w14:paraId="7D0065C9" w14:textId="7B64AF4C" w:rsidR="00D50FF4" w:rsidRPr="0064478A" w:rsidRDefault="00D50FF4" w:rsidP="00D50FF4">
      <w:pPr>
        <w:pStyle w:val="ListParagraph"/>
        <w:numPr>
          <w:ilvl w:val="1"/>
          <w:numId w:val="1"/>
        </w:numPr>
        <w:rPr>
          <w:rFonts w:ascii="Arial" w:hAnsi="Arial" w:cs="Arial"/>
        </w:rPr>
      </w:pPr>
      <w:r w:rsidRPr="0064478A">
        <w:rPr>
          <w:rFonts w:ascii="Arial" w:hAnsi="Arial" w:cs="Arial"/>
        </w:rPr>
        <w:t xml:space="preserve">Reduces minimum inventory requirements of A-10 </w:t>
      </w:r>
      <w:r w:rsidR="00DA3C7C" w:rsidRPr="0064478A">
        <w:rPr>
          <w:rFonts w:ascii="Arial" w:hAnsi="Arial" w:cs="Arial"/>
        </w:rPr>
        <w:t>aircraft</w:t>
      </w:r>
      <w:r w:rsidRPr="0064478A">
        <w:rPr>
          <w:rFonts w:ascii="Arial" w:hAnsi="Arial" w:cs="Arial"/>
        </w:rPr>
        <w:t xml:space="preserve"> in FY2</w:t>
      </w:r>
      <w:r w:rsidR="00FB355E" w:rsidRPr="0064478A">
        <w:rPr>
          <w:rFonts w:ascii="Arial" w:hAnsi="Arial" w:cs="Arial"/>
        </w:rPr>
        <w:t>4</w:t>
      </w:r>
      <w:r w:rsidRPr="0064478A">
        <w:rPr>
          <w:rFonts w:ascii="Arial" w:hAnsi="Arial" w:cs="Arial"/>
        </w:rPr>
        <w:t xml:space="preserve"> to 135</w:t>
      </w:r>
      <w:r w:rsidR="00B912D1" w:rsidRPr="0064478A">
        <w:rPr>
          <w:rFonts w:ascii="Arial" w:hAnsi="Arial" w:cs="Arial"/>
        </w:rPr>
        <w:t>.</w:t>
      </w:r>
      <w:r w:rsidR="00BC755A">
        <w:rPr>
          <w:rFonts w:ascii="Arial" w:hAnsi="Arial" w:cs="Arial"/>
        </w:rPr>
        <w:t xml:space="preserve"> (Sec. 133)</w:t>
      </w:r>
    </w:p>
    <w:p w14:paraId="54099C40" w14:textId="77777777" w:rsidR="00BC1378" w:rsidRPr="009A1744" w:rsidRDefault="00BC1378" w:rsidP="00BC1378">
      <w:pPr>
        <w:pStyle w:val="ListParagraph"/>
        <w:ind w:left="1080"/>
        <w:rPr>
          <w:rFonts w:ascii="Arial" w:hAnsi="Arial" w:cs="Arial"/>
          <w:highlight w:val="yellow"/>
        </w:rPr>
      </w:pPr>
    </w:p>
    <w:p w14:paraId="00F2298D" w14:textId="789C54B2" w:rsidR="00DA3136" w:rsidRPr="00C83C89" w:rsidRDefault="00427C26" w:rsidP="009F2301">
      <w:pPr>
        <w:pStyle w:val="ListParagraph"/>
        <w:numPr>
          <w:ilvl w:val="1"/>
          <w:numId w:val="1"/>
        </w:numPr>
        <w:rPr>
          <w:rFonts w:ascii="Arial" w:hAnsi="Arial" w:cs="Arial"/>
        </w:rPr>
      </w:pPr>
      <w:r w:rsidRPr="00C83C89">
        <w:rPr>
          <w:rFonts w:ascii="Arial" w:hAnsi="Arial" w:cs="Arial"/>
        </w:rPr>
        <w:t>$</w:t>
      </w:r>
      <w:r w:rsidR="00C83C89" w:rsidRPr="00C83C89">
        <w:rPr>
          <w:rFonts w:ascii="Arial" w:hAnsi="Arial" w:cs="Arial"/>
        </w:rPr>
        <w:t>4.</w:t>
      </w:r>
      <w:r w:rsidRPr="00C83C89">
        <w:rPr>
          <w:rFonts w:ascii="Arial" w:hAnsi="Arial" w:cs="Arial"/>
        </w:rPr>
        <w:t xml:space="preserve"> </w:t>
      </w:r>
      <w:r w:rsidR="00337396">
        <w:rPr>
          <w:rFonts w:ascii="Arial" w:hAnsi="Arial" w:cs="Arial"/>
        </w:rPr>
        <w:t>B</w:t>
      </w:r>
      <w:r w:rsidRPr="00C83C89">
        <w:rPr>
          <w:rFonts w:ascii="Arial" w:hAnsi="Arial" w:cs="Arial"/>
        </w:rPr>
        <w:t xml:space="preserve"> for </w:t>
      </w:r>
      <w:r w:rsidR="00C83C89" w:rsidRPr="00C83C89">
        <w:rPr>
          <w:rFonts w:ascii="Arial" w:hAnsi="Arial" w:cs="Arial"/>
        </w:rPr>
        <w:t>48</w:t>
      </w:r>
      <w:r w:rsidR="00B814B2" w:rsidRPr="00C83C89">
        <w:rPr>
          <w:rFonts w:ascii="Arial" w:hAnsi="Arial" w:cs="Arial"/>
        </w:rPr>
        <w:t xml:space="preserve"> </w:t>
      </w:r>
      <w:r w:rsidRPr="00C83C89">
        <w:rPr>
          <w:rFonts w:ascii="Arial" w:hAnsi="Arial" w:cs="Arial"/>
        </w:rPr>
        <w:t>F-35A</w:t>
      </w:r>
      <w:r w:rsidR="00DA3136" w:rsidRPr="00C83C89">
        <w:rPr>
          <w:rFonts w:ascii="Arial" w:hAnsi="Arial" w:cs="Arial"/>
        </w:rPr>
        <w:t xml:space="preserve"> Lightning II aircraft. </w:t>
      </w:r>
      <w:r w:rsidR="00564026">
        <w:rPr>
          <w:rFonts w:ascii="Arial" w:hAnsi="Arial" w:cs="Arial"/>
        </w:rPr>
        <w:t xml:space="preserve">$402 </w:t>
      </w:r>
      <w:r w:rsidR="00337396">
        <w:rPr>
          <w:rFonts w:ascii="Arial" w:hAnsi="Arial" w:cs="Arial"/>
        </w:rPr>
        <w:t>M</w:t>
      </w:r>
      <w:r w:rsidR="00564026">
        <w:rPr>
          <w:rFonts w:ascii="Arial" w:hAnsi="Arial" w:cs="Arial"/>
        </w:rPr>
        <w:t xml:space="preserve"> for FY25 advanced procurement. </w:t>
      </w:r>
    </w:p>
    <w:p w14:paraId="0B06DDFC" w14:textId="77777777" w:rsidR="00B814B2" w:rsidRPr="009A1744" w:rsidRDefault="00B814B2" w:rsidP="00B814B2">
      <w:pPr>
        <w:pStyle w:val="ListParagraph"/>
        <w:rPr>
          <w:rFonts w:ascii="Arial" w:hAnsi="Arial" w:cs="Arial"/>
          <w:highlight w:val="yellow"/>
        </w:rPr>
      </w:pPr>
    </w:p>
    <w:p w14:paraId="60889B54" w14:textId="54B8F22A" w:rsidR="00337396" w:rsidRPr="00337396" w:rsidRDefault="00DA3136" w:rsidP="00337396">
      <w:pPr>
        <w:pStyle w:val="ListParagraph"/>
        <w:numPr>
          <w:ilvl w:val="1"/>
          <w:numId w:val="1"/>
        </w:numPr>
        <w:rPr>
          <w:rFonts w:ascii="Arial" w:hAnsi="Arial" w:cs="Arial"/>
        </w:rPr>
      </w:pPr>
      <w:r w:rsidRPr="00C83C89">
        <w:rPr>
          <w:rFonts w:ascii="Arial" w:hAnsi="Arial" w:cs="Arial"/>
        </w:rPr>
        <w:t>$2</w:t>
      </w:r>
      <w:r w:rsidR="00C83C89" w:rsidRPr="00C83C89">
        <w:rPr>
          <w:rFonts w:ascii="Arial" w:hAnsi="Arial" w:cs="Arial"/>
        </w:rPr>
        <w:t>.4</w:t>
      </w:r>
      <w:r w:rsidR="00337396">
        <w:rPr>
          <w:rFonts w:ascii="Arial" w:hAnsi="Arial" w:cs="Arial"/>
        </w:rPr>
        <w:t>B</w:t>
      </w:r>
      <w:r w:rsidRPr="00C83C89">
        <w:rPr>
          <w:rFonts w:ascii="Arial" w:hAnsi="Arial" w:cs="Arial"/>
        </w:rPr>
        <w:t xml:space="preserve"> for </w:t>
      </w:r>
      <w:r w:rsidR="00CE40A1" w:rsidRPr="00C83C89">
        <w:rPr>
          <w:rFonts w:ascii="Arial" w:hAnsi="Arial" w:cs="Arial"/>
        </w:rPr>
        <w:t xml:space="preserve">24 </w:t>
      </w:r>
      <w:r w:rsidRPr="00C83C89">
        <w:rPr>
          <w:rFonts w:ascii="Arial" w:hAnsi="Arial" w:cs="Arial"/>
        </w:rPr>
        <w:t>F-15EX</w:t>
      </w:r>
      <w:r w:rsidR="00855C0B" w:rsidRPr="00C83C89">
        <w:rPr>
          <w:rFonts w:ascii="Arial" w:hAnsi="Arial" w:cs="Arial"/>
        </w:rPr>
        <w:t>.</w:t>
      </w:r>
    </w:p>
    <w:p w14:paraId="1AE34799" w14:textId="20DF54A4" w:rsidR="00DA3136" w:rsidRPr="00C83C89" w:rsidRDefault="00B814B2" w:rsidP="00337396">
      <w:pPr>
        <w:pStyle w:val="ListParagraph"/>
        <w:numPr>
          <w:ilvl w:val="2"/>
          <w:numId w:val="1"/>
        </w:numPr>
        <w:rPr>
          <w:rFonts w:ascii="Arial" w:hAnsi="Arial" w:cs="Arial"/>
        </w:rPr>
      </w:pPr>
      <w:r w:rsidRPr="00C83C89">
        <w:rPr>
          <w:rFonts w:ascii="Arial" w:hAnsi="Arial" w:cs="Arial"/>
        </w:rPr>
        <w:t xml:space="preserve"> Decreases F-15EX funding by $200.4 </w:t>
      </w:r>
      <w:r w:rsidR="00337396">
        <w:rPr>
          <w:rFonts w:ascii="Arial" w:hAnsi="Arial" w:cs="Arial"/>
        </w:rPr>
        <w:t>M</w:t>
      </w:r>
      <w:r w:rsidRPr="00C83C89">
        <w:rPr>
          <w:rFonts w:ascii="Arial" w:hAnsi="Arial" w:cs="Arial"/>
        </w:rPr>
        <w:t xml:space="preserve"> due to the Air Force’s need to realign funds.</w:t>
      </w:r>
    </w:p>
    <w:bookmarkEnd w:id="3"/>
    <w:p w14:paraId="1C3E7594" w14:textId="77777777" w:rsidR="00DA3136" w:rsidRPr="009A1744" w:rsidRDefault="00DA3136" w:rsidP="00DA3136">
      <w:pPr>
        <w:pStyle w:val="ListParagraph"/>
        <w:rPr>
          <w:rFonts w:ascii="Arial" w:hAnsi="Arial" w:cs="Arial"/>
          <w:highlight w:val="yellow"/>
        </w:rPr>
      </w:pPr>
    </w:p>
    <w:p w14:paraId="6D0DB638" w14:textId="7B2D84FA" w:rsidR="007912D4" w:rsidRDefault="00DA3136" w:rsidP="00427C26">
      <w:pPr>
        <w:pStyle w:val="ListParagraph"/>
        <w:numPr>
          <w:ilvl w:val="1"/>
          <w:numId w:val="1"/>
        </w:numPr>
        <w:rPr>
          <w:rFonts w:ascii="Arial" w:hAnsi="Arial" w:cs="Arial"/>
        </w:rPr>
      </w:pPr>
      <w:r w:rsidRPr="00746963">
        <w:rPr>
          <w:rFonts w:ascii="Arial" w:hAnsi="Arial" w:cs="Arial"/>
        </w:rPr>
        <w:t>$34</w:t>
      </w:r>
      <w:r w:rsidR="00066AFA" w:rsidRPr="00746963">
        <w:rPr>
          <w:rFonts w:ascii="Arial" w:hAnsi="Arial" w:cs="Arial"/>
        </w:rPr>
        <w:t>.9</w:t>
      </w:r>
      <w:r w:rsidR="00337396">
        <w:rPr>
          <w:rFonts w:ascii="Arial" w:hAnsi="Arial" w:cs="Arial"/>
        </w:rPr>
        <w:t>M</w:t>
      </w:r>
      <w:r w:rsidRPr="00746963">
        <w:rPr>
          <w:rFonts w:ascii="Arial" w:hAnsi="Arial" w:cs="Arial"/>
        </w:rPr>
        <w:t xml:space="preserve"> for C-130J</w:t>
      </w:r>
      <w:r w:rsidR="009E75A5" w:rsidRPr="00746963">
        <w:rPr>
          <w:rFonts w:ascii="Arial" w:hAnsi="Arial" w:cs="Arial"/>
        </w:rPr>
        <w:t xml:space="preserve"> purchases</w:t>
      </w:r>
      <w:r w:rsidR="007912D4">
        <w:rPr>
          <w:rFonts w:ascii="Arial" w:hAnsi="Arial" w:cs="Arial"/>
        </w:rPr>
        <w:t>.</w:t>
      </w:r>
    </w:p>
    <w:p w14:paraId="4214767C" w14:textId="77777777" w:rsidR="007912D4" w:rsidRPr="007912D4" w:rsidRDefault="007912D4" w:rsidP="007912D4">
      <w:pPr>
        <w:pStyle w:val="ListParagraph"/>
        <w:rPr>
          <w:rFonts w:ascii="Arial" w:hAnsi="Arial" w:cs="Arial"/>
        </w:rPr>
      </w:pPr>
    </w:p>
    <w:p w14:paraId="4EE6D32C" w14:textId="4882683D" w:rsidR="00DA3136" w:rsidRDefault="009E75A5" w:rsidP="00427C26">
      <w:pPr>
        <w:pStyle w:val="ListParagraph"/>
        <w:numPr>
          <w:ilvl w:val="1"/>
          <w:numId w:val="1"/>
        </w:numPr>
        <w:rPr>
          <w:rFonts w:ascii="Arial" w:hAnsi="Arial" w:cs="Arial"/>
        </w:rPr>
      </w:pPr>
      <w:r w:rsidRPr="00746963">
        <w:rPr>
          <w:rFonts w:ascii="Arial" w:hAnsi="Arial" w:cs="Arial"/>
        </w:rPr>
        <w:t>$121</w:t>
      </w:r>
      <w:r w:rsidR="00337396">
        <w:rPr>
          <w:rFonts w:ascii="Arial" w:hAnsi="Arial" w:cs="Arial"/>
        </w:rPr>
        <w:t>M</w:t>
      </w:r>
      <w:r w:rsidRPr="00746963">
        <w:rPr>
          <w:rFonts w:ascii="Arial" w:hAnsi="Arial" w:cs="Arial"/>
        </w:rPr>
        <w:t xml:space="preserve"> for </w:t>
      </w:r>
      <w:r w:rsidR="007912D4">
        <w:rPr>
          <w:rFonts w:ascii="Arial" w:hAnsi="Arial" w:cs="Arial"/>
        </w:rPr>
        <w:t xml:space="preserve">C-130J </w:t>
      </w:r>
      <w:r w:rsidRPr="00746963">
        <w:rPr>
          <w:rFonts w:ascii="Arial" w:hAnsi="Arial" w:cs="Arial"/>
        </w:rPr>
        <w:t>modifications</w:t>
      </w:r>
      <w:r w:rsidR="00DA3136" w:rsidRPr="00746963">
        <w:rPr>
          <w:rFonts w:ascii="Arial" w:hAnsi="Arial" w:cs="Arial"/>
        </w:rPr>
        <w:t xml:space="preserve">. </w:t>
      </w:r>
    </w:p>
    <w:p w14:paraId="2E715457" w14:textId="77777777" w:rsidR="007912D4" w:rsidRPr="007912D4" w:rsidRDefault="007912D4" w:rsidP="007912D4">
      <w:pPr>
        <w:pStyle w:val="ListParagraph"/>
        <w:rPr>
          <w:rFonts w:ascii="Arial" w:hAnsi="Arial" w:cs="Arial"/>
        </w:rPr>
      </w:pPr>
    </w:p>
    <w:p w14:paraId="232A7258" w14:textId="1C53737E" w:rsidR="007912D4" w:rsidRPr="00746963" w:rsidRDefault="007912D4" w:rsidP="00427C26">
      <w:pPr>
        <w:pStyle w:val="ListParagraph"/>
        <w:numPr>
          <w:ilvl w:val="1"/>
          <w:numId w:val="1"/>
        </w:numPr>
        <w:rPr>
          <w:rFonts w:ascii="Arial" w:hAnsi="Arial" w:cs="Arial"/>
        </w:rPr>
      </w:pPr>
      <w:r>
        <w:rPr>
          <w:rFonts w:ascii="Arial" w:hAnsi="Arial" w:cs="Arial"/>
        </w:rPr>
        <w:t>$10.1</w:t>
      </w:r>
      <w:r w:rsidR="00337396">
        <w:rPr>
          <w:rFonts w:ascii="Arial" w:hAnsi="Arial" w:cs="Arial"/>
        </w:rPr>
        <w:t>M</w:t>
      </w:r>
      <w:r>
        <w:rPr>
          <w:rFonts w:ascii="Arial" w:hAnsi="Arial" w:cs="Arial"/>
        </w:rPr>
        <w:t xml:space="preserve"> for MC-130J </w:t>
      </w:r>
      <w:r w:rsidR="00AA2741">
        <w:rPr>
          <w:rFonts w:ascii="Arial" w:hAnsi="Arial" w:cs="Arial"/>
        </w:rPr>
        <w:t>postproduction</w:t>
      </w:r>
      <w:r>
        <w:rPr>
          <w:rFonts w:ascii="Arial" w:hAnsi="Arial" w:cs="Arial"/>
        </w:rPr>
        <w:t xml:space="preserve"> support. </w:t>
      </w:r>
    </w:p>
    <w:p w14:paraId="3917B925" w14:textId="77777777" w:rsidR="009E75A5" w:rsidRPr="009A1744" w:rsidRDefault="009E75A5" w:rsidP="009E75A5">
      <w:pPr>
        <w:pStyle w:val="ListParagraph"/>
        <w:rPr>
          <w:rFonts w:ascii="Arial" w:hAnsi="Arial" w:cs="Arial"/>
          <w:highlight w:val="yellow"/>
        </w:rPr>
      </w:pPr>
    </w:p>
    <w:p w14:paraId="1FEEF1FA" w14:textId="4DE5C03B" w:rsidR="007912D4" w:rsidRDefault="009E75A5" w:rsidP="00A747CD">
      <w:pPr>
        <w:pStyle w:val="ListParagraph"/>
        <w:numPr>
          <w:ilvl w:val="1"/>
          <w:numId w:val="1"/>
        </w:numPr>
        <w:rPr>
          <w:rFonts w:ascii="Arial" w:hAnsi="Arial" w:cs="Arial"/>
        </w:rPr>
      </w:pPr>
      <w:r w:rsidRPr="007912D4">
        <w:rPr>
          <w:rFonts w:ascii="Arial" w:hAnsi="Arial" w:cs="Arial"/>
        </w:rPr>
        <w:t>$</w:t>
      </w:r>
      <w:r w:rsidR="00564026" w:rsidRPr="007912D4">
        <w:rPr>
          <w:rFonts w:ascii="Arial" w:hAnsi="Arial" w:cs="Arial"/>
        </w:rPr>
        <w:t>9</w:t>
      </w:r>
      <w:r w:rsidRPr="007912D4">
        <w:rPr>
          <w:rFonts w:ascii="Arial" w:hAnsi="Arial" w:cs="Arial"/>
        </w:rPr>
        <w:t>1</w:t>
      </w:r>
      <w:r w:rsidR="00746963" w:rsidRPr="007912D4">
        <w:rPr>
          <w:rFonts w:ascii="Arial" w:hAnsi="Arial" w:cs="Arial"/>
        </w:rPr>
        <w:t>.7</w:t>
      </w:r>
      <w:r w:rsidR="00337396">
        <w:rPr>
          <w:rFonts w:ascii="Arial" w:hAnsi="Arial" w:cs="Arial"/>
        </w:rPr>
        <w:t>M</w:t>
      </w:r>
      <w:r w:rsidRPr="007912D4">
        <w:rPr>
          <w:rFonts w:ascii="Arial" w:hAnsi="Arial" w:cs="Arial"/>
        </w:rPr>
        <w:t xml:space="preserve"> for C-130 purchases</w:t>
      </w:r>
      <w:r w:rsidR="007912D4">
        <w:rPr>
          <w:rFonts w:ascii="Arial" w:hAnsi="Arial" w:cs="Arial"/>
        </w:rPr>
        <w:t>.</w:t>
      </w:r>
    </w:p>
    <w:p w14:paraId="773C9665" w14:textId="77777777" w:rsidR="007912D4" w:rsidRPr="007912D4" w:rsidRDefault="007912D4" w:rsidP="007912D4">
      <w:pPr>
        <w:rPr>
          <w:rFonts w:ascii="Arial" w:hAnsi="Arial" w:cs="Arial"/>
        </w:rPr>
      </w:pPr>
    </w:p>
    <w:p w14:paraId="26302457" w14:textId="020C69A2" w:rsidR="007912D4" w:rsidRDefault="007912D4" w:rsidP="00427C26">
      <w:pPr>
        <w:pStyle w:val="ListParagraph"/>
        <w:numPr>
          <w:ilvl w:val="1"/>
          <w:numId w:val="1"/>
        </w:numPr>
        <w:rPr>
          <w:rFonts w:ascii="Arial" w:hAnsi="Arial" w:cs="Arial"/>
        </w:rPr>
      </w:pPr>
      <w:r>
        <w:rPr>
          <w:rFonts w:ascii="Arial" w:hAnsi="Arial" w:cs="Arial"/>
        </w:rPr>
        <w:t>$101</w:t>
      </w:r>
      <w:r w:rsidR="00337396">
        <w:rPr>
          <w:rFonts w:ascii="Arial" w:hAnsi="Arial" w:cs="Arial"/>
        </w:rPr>
        <w:t>M</w:t>
      </w:r>
      <w:r>
        <w:rPr>
          <w:rFonts w:ascii="Arial" w:hAnsi="Arial" w:cs="Arial"/>
        </w:rPr>
        <w:t xml:space="preserve"> for HC/MC-130 modifications</w:t>
      </w:r>
    </w:p>
    <w:p w14:paraId="0840221E" w14:textId="77777777" w:rsidR="00DA3136" w:rsidRPr="00CB4C36" w:rsidRDefault="00DA3136" w:rsidP="00CB4C36">
      <w:pPr>
        <w:rPr>
          <w:rFonts w:ascii="Arial" w:hAnsi="Arial" w:cs="Arial"/>
          <w:highlight w:val="yellow"/>
        </w:rPr>
      </w:pPr>
    </w:p>
    <w:p w14:paraId="6D052156" w14:textId="313D294B" w:rsidR="00427C26" w:rsidRPr="009C2242" w:rsidRDefault="00855C0B" w:rsidP="00427C26">
      <w:pPr>
        <w:pStyle w:val="ListParagraph"/>
        <w:numPr>
          <w:ilvl w:val="1"/>
          <w:numId w:val="1"/>
        </w:numPr>
        <w:rPr>
          <w:rFonts w:ascii="Arial" w:hAnsi="Arial" w:cs="Arial"/>
        </w:rPr>
      </w:pPr>
      <w:r w:rsidRPr="009C2242">
        <w:rPr>
          <w:rFonts w:ascii="Arial" w:hAnsi="Arial" w:cs="Arial"/>
        </w:rPr>
        <w:t>$2.8</w:t>
      </w:r>
      <w:r w:rsidR="009C2242" w:rsidRPr="009C2242">
        <w:rPr>
          <w:rFonts w:ascii="Arial" w:hAnsi="Arial" w:cs="Arial"/>
        </w:rPr>
        <w:t>4</w:t>
      </w:r>
      <w:r w:rsidR="00337396">
        <w:rPr>
          <w:rFonts w:ascii="Arial" w:hAnsi="Arial" w:cs="Arial"/>
        </w:rPr>
        <w:t>B</w:t>
      </w:r>
      <w:r w:rsidRPr="009C2242">
        <w:rPr>
          <w:rFonts w:ascii="Arial" w:hAnsi="Arial" w:cs="Arial"/>
        </w:rPr>
        <w:t xml:space="preserve"> for </w:t>
      </w:r>
      <w:r w:rsidR="009C2242" w:rsidRPr="009C2242">
        <w:rPr>
          <w:rFonts w:ascii="Arial" w:hAnsi="Arial" w:cs="Arial"/>
        </w:rPr>
        <w:t xml:space="preserve">15 </w:t>
      </w:r>
      <w:r w:rsidRPr="009C2242">
        <w:rPr>
          <w:rFonts w:ascii="Arial" w:hAnsi="Arial" w:cs="Arial"/>
        </w:rPr>
        <w:t xml:space="preserve">KC-46A Pegasus aircraft. </w:t>
      </w:r>
      <w:r w:rsidR="00427C26" w:rsidRPr="009C2242">
        <w:rPr>
          <w:rFonts w:ascii="Arial" w:hAnsi="Arial" w:cs="Arial"/>
        </w:rPr>
        <w:br/>
      </w:r>
    </w:p>
    <w:p w14:paraId="47A2D5D7" w14:textId="1265F9FE" w:rsidR="00427C26" w:rsidRPr="00A828AF" w:rsidRDefault="00427C26" w:rsidP="00427C26">
      <w:pPr>
        <w:pStyle w:val="ListParagraph"/>
        <w:numPr>
          <w:ilvl w:val="1"/>
          <w:numId w:val="1"/>
        </w:numPr>
        <w:rPr>
          <w:rFonts w:ascii="Arial" w:hAnsi="Arial" w:cs="Arial"/>
        </w:rPr>
      </w:pPr>
      <w:r w:rsidRPr="00A828AF">
        <w:rPr>
          <w:rFonts w:ascii="Arial" w:hAnsi="Arial" w:cs="Arial"/>
        </w:rPr>
        <w:t>$282.5</w:t>
      </w:r>
      <w:r w:rsidR="00337396">
        <w:rPr>
          <w:rFonts w:ascii="Arial" w:hAnsi="Arial" w:cs="Arial"/>
        </w:rPr>
        <w:t>M</w:t>
      </w:r>
      <w:r w:rsidR="002F3D87" w:rsidRPr="00A828AF">
        <w:rPr>
          <w:rFonts w:ascii="Arial" w:hAnsi="Arial" w:cs="Arial"/>
        </w:rPr>
        <w:t xml:space="preserve"> </w:t>
      </w:r>
      <w:r w:rsidRPr="00A828AF">
        <w:rPr>
          <w:rFonts w:ascii="Arial" w:hAnsi="Arial" w:cs="Arial"/>
        </w:rPr>
        <w:t xml:space="preserve">for Combat Rescue Helicopters. </w:t>
      </w:r>
    </w:p>
    <w:p w14:paraId="15DC0717" w14:textId="77777777" w:rsidR="00427C26" w:rsidRPr="009A1744" w:rsidRDefault="00427C26" w:rsidP="0061302C">
      <w:pPr>
        <w:pStyle w:val="ListParagraph"/>
        <w:rPr>
          <w:rFonts w:ascii="Arial" w:hAnsi="Arial" w:cs="Arial"/>
          <w:highlight w:val="yellow"/>
        </w:rPr>
      </w:pPr>
    </w:p>
    <w:p w14:paraId="1A58647B" w14:textId="7C410EEC" w:rsidR="00937999" w:rsidRPr="00337396" w:rsidRDefault="00DA3136" w:rsidP="00337396">
      <w:pPr>
        <w:pStyle w:val="ListParagraph"/>
        <w:numPr>
          <w:ilvl w:val="1"/>
          <w:numId w:val="1"/>
        </w:numPr>
        <w:rPr>
          <w:rFonts w:ascii="Arial" w:hAnsi="Arial" w:cs="Arial"/>
        </w:rPr>
      </w:pPr>
      <w:bookmarkStart w:id="4" w:name="_Hlk152862401"/>
      <w:r w:rsidRPr="00435A98">
        <w:rPr>
          <w:rFonts w:ascii="Arial" w:hAnsi="Arial" w:cs="Arial"/>
        </w:rPr>
        <w:t>$</w:t>
      </w:r>
      <w:r w:rsidR="00435A98" w:rsidRPr="00435A98">
        <w:rPr>
          <w:rFonts w:ascii="Arial" w:hAnsi="Arial" w:cs="Arial"/>
        </w:rPr>
        <w:t>361.3</w:t>
      </w:r>
      <w:r w:rsidR="00337396">
        <w:rPr>
          <w:rFonts w:ascii="Arial" w:hAnsi="Arial" w:cs="Arial"/>
        </w:rPr>
        <w:t>M</w:t>
      </w:r>
      <w:r w:rsidR="003232D7" w:rsidRPr="00435A98">
        <w:rPr>
          <w:rFonts w:ascii="Arial" w:hAnsi="Arial" w:cs="Arial"/>
        </w:rPr>
        <w:t xml:space="preserve"> </w:t>
      </w:r>
      <w:r w:rsidR="00427C26" w:rsidRPr="00435A98">
        <w:rPr>
          <w:rFonts w:ascii="Arial" w:hAnsi="Arial" w:cs="Arial"/>
        </w:rPr>
        <w:t xml:space="preserve">for ANG MILCON. </w:t>
      </w:r>
    </w:p>
    <w:p w14:paraId="407248CC" w14:textId="77777777" w:rsidR="00937999" w:rsidRPr="00937999" w:rsidRDefault="00937999" w:rsidP="00937999">
      <w:pPr>
        <w:pStyle w:val="ListParagraph"/>
        <w:rPr>
          <w:rFonts w:ascii="Arial" w:hAnsi="Arial" w:cs="Arial"/>
        </w:rPr>
      </w:pPr>
    </w:p>
    <w:p w14:paraId="33D79B92" w14:textId="77777777" w:rsidR="00937999" w:rsidRPr="00CB4C36" w:rsidRDefault="00937999" w:rsidP="00937999">
      <w:pPr>
        <w:pStyle w:val="ListParagraph"/>
        <w:numPr>
          <w:ilvl w:val="1"/>
          <w:numId w:val="1"/>
        </w:numPr>
        <w:rPr>
          <w:rFonts w:ascii="Arial" w:hAnsi="Arial" w:cs="Arial"/>
        </w:rPr>
      </w:pPr>
      <w:r>
        <w:rPr>
          <w:rFonts w:ascii="Arial" w:hAnsi="Arial" w:cs="Arial"/>
        </w:rPr>
        <w:t xml:space="preserve">The committee did not establish a Space National Guard. </w:t>
      </w:r>
      <w:r w:rsidRPr="009A1744">
        <w:rPr>
          <w:rFonts w:ascii="Arial" w:hAnsi="Arial" w:cs="Arial"/>
        </w:rPr>
        <w:t xml:space="preserve">Requires the Secretary of Defense to conduct a study to assess the feasibility and advisability of transferring space functions of the Air National Guard to the Space Force. The results of the report must be </w:t>
      </w:r>
      <w:r w:rsidRPr="009A1744">
        <w:rPr>
          <w:rFonts w:ascii="Arial" w:hAnsi="Arial" w:cs="Arial"/>
        </w:rPr>
        <w:lastRenderedPageBreak/>
        <w:t xml:space="preserve">submitted to the Committees on Armed Services of the Senate and the House of Representatives by March </w:t>
      </w:r>
      <w:r>
        <w:rPr>
          <w:rFonts w:ascii="Arial" w:hAnsi="Arial" w:cs="Arial"/>
        </w:rPr>
        <w:t>1, 2024</w:t>
      </w:r>
      <w:r w:rsidRPr="009A1744">
        <w:rPr>
          <w:rFonts w:ascii="Arial" w:hAnsi="Arial" w:cs="Arial"/>
        </w:rPr>
        <w:t>. (Sec. 924)</w:t>
      </w:r>
    </w:p>
    <w:p w14:paraId="7EC89E13" w14:textId="77777777" w:rsidR="00FE3FA9" w:rsidRPr="00937999" w:rsidRDefault="00FE3FA9" w:rsidP="00937999">
      <w:pPr>
        <w:rPr>
          <w:rFonts w:ascii="Arial" w:hAnsi="Arial" w:cs="Arial"/>
          <w:highlight w:val="yellow"/>
        </w:rPr>
      </w:pPr>
    </w:p>
    <w:p w14:paraId="524A168A" w14:textId="0B150065" w:rsidR="00FE3FA9" w:rsidRDefault="00FE3FA9" w:rsidP="00427C26">
      <w:pPr>
        <w:pStyle w:val="ListParagraph"/>
        <w:numPr>
          <w:ilvl w:val="1"/>
          <w:numId w:val="1"/>
        </w:numPr>
        <w:rPr>
          <w:rFonts w:ascii="Arial" w:hAnsi="Arial" w:cs="Arial"/>
        </w:rPr>
      </w:pPr>
      <w:r>
        <w:rPr>
          <w:rFonts w:ascii="Arial" w:hAnsi="Arial" w:cs="Arial"/>
        </w:rPr>
        <w:t>Reauthorizes the minimum inventory requirement for C-130 aircraft, and prohibits a reduction of C-130s assigned to the National Guard</w:t>
      </w:r>
      <w:r w:rsidR="00BC755A">
        <w:rPr>
          <w:rFonts w:ascii="Arial" w:hAnsi="Arial" w:cs="Arial"/>
        </w:rPr>
        <w:t>.</w:t>
      </w:r>
      <w:r>
        <w:rPr>
          <w:rFonts w:ascii="Arial" w:hAnsi="Arial" w:cs="Arial"/>
        </w:rPr>
        <w:t xml:space="preserve"> (Sec. 5131)</w:t>
      </w:r>
    </w:p>
    <w:p w14:paraId="05185968" w14:textId="77777777" w:rsidR="00FE3FA9" w:rsidRPr="00FE3FA9" w:rsidRDefault="00FE3FA9" w:rsidP="00FE3FA9">
      <w:pPr>
        <w:pStyle w:val="ListParagraph"/>
        <w:rPr>
          <w:rFonts w:ascii="Arial" w:hAnsi="Arial" w:cs="Arial"/>
        </w:rPr>
      </w:pPr>
    </w:p>
    <w:p w14:paraId="30749F84" w14:textId="3FBCCEAD" w:rsidR="00FE3FA9" w:rsidRDefault="00FE3FA9" w:rsidP="00427C26">
      <w:pPr>
        <w:pStyle w:val="ListParagraph"/>
        <w:numPr>
          <w:ilvl w:val="1"/>
          <w:numId w:val="1"/>
        </w:numPr>
        <w:rPr>
          <w:rFonts w:ascii="Arial" w:hAnsi="Arial" w:cs="Arial"/>
        </w:rPr>
      </w:pPr>
      <w:r>
        <w:rPr>
          <w:rFonts w:ascii="Arial" w:hAnsi="Arial" w:cs="Arial"/>
        </w:rPr>
        <w:t>Prohibits divestment of F-15EX aircraft from 2024 through 2029</w:t>
      </w:r>
      <w:r w:rsidR="00BC755A">
        <w:rPr>
          <w:rFonts w:ascii="Arial" w:hAnsi="Arial" w:cs="Arial"/>
        </w:rPr>
        <w:t>.</w:t>
      </w:r>
      <w:r>
        <w:rPr>
          <w:rFonts w:ascii="Arial" w:hAnsi="Arial" w:cs="Arial"/>
        </w:rPr>
        <w:t xml:space="preserve"> (Sec. 5133)</w:t>
      </w:r>
    </w:p>
    <w:p w14:paraId="7F4F969A" w14:textId="77777777" w:rsidR="00FE3FA9" w:rsidRPr="00FE3FA9" w:rsidRDefault="00FE3FA9" w:rsidP="00FE3FA9">
      <w:pPr>
        <w:pStyle w:val="ListParagraph"/>
        <w:rPr>
          <w:rFonts w:ascii="Arial" w:hAnsi="Arial" w:cs="Arial"/>
        </w:rPr>
      </w:pPr>
    </w:p>
    <w:p w14:paraId="06B1AA0A" w14:textId="7165325D" w:rsidR="00435A98" w:rsidRPr="00435A98" w:rsidRDefault="00435A98" w:rsidP="00427C26">
      <w:pPr>
        <w:pStyle w:val="ListParagraph"/>
        <w:numPr>
          <w:ilvl w:val="1"/>
          <w:numId w:val="1"/>
        </w:numPr>
        <w:rPr>
          <w:rFonts w:ascii="Arial" w:hAnsi="Arial" w:cs="Arial"/>
        </w:rPr>
      </w:pPr>
      <w:r w:rsidRPr="00435A98">
        <w:rPr>
          <w:rFonts w:ascii="Arial" w:hAnsi="Arial" w:cs="Arial"/>
        </w:rPr>
        <w:t xml:space="preserve">Prevents the Air Force from reducing the number of KC-135 in the Air National Guard. </w:t>
      </w:r>
    </w:p>
    <w:p w14:paraId="18AAC7A7" w14:textId="77777777" w:rsidR="00FE3FA9" w:rsidRDefault="00FE3FA9" w:rsidP="00FE3FA9">
      <w:pPr>
        <w:pStyle w:val="ListParagraph"/>
        <w:rPr>
          <w:rFonts w:ascii="Arial" w:hAnsi="Arial" w:cs="Arial"/>
        </w:rPr>
      </w:pPr>
    </w:p>
    <w:p w14:paraId="0C0B7B73" w14:textId="2F8B939D" w:rsidR="00FE3FA9" w:rsidRDefault="00FE3FA9" w:rsidP="00FE3FA9">
      <w:pPr>
        <w:pStyle w:val="ListParagraph"/>
        <w:numPr>
          <w:ilvl w:val="1"/>
          <w:numId w:val="1"/>
        </w:numPr>
        <w:rPr>
          <w:rFonts w:ascii="Arial" w:hAnsi="Arial" w:cs="Arial"/>
        </w:rPr>
      </w:pPr>
      <w:r>
        <w:rPr>
          <w:rFonts w:ascii="Arial" w:hAnsi="Arial" w:cs="Arial"/>
        </w:rPr>
        <w:t xml:space="preserve">The Secretary of the Air Force should investigate and brief the congressional defense committees, no later than February 1, 2024, on the potential increase in air refueling capacity and cost savings, including manpower if all Air National Guard KC-135 stand-alone units were changed into active association units. </w:t>
      </w:r>
    </w:p>
    <w:p w14:paraId="044892E8" w14:textId="77777777" w:rsidR="003409E2" w:rsidRPr="003409E2" w:rsidRDefault="003409E2" w:rsidP="003409E2">
      <w:pPr>
        <w:pStyle w:val="ListParagraph"/>
        <w:rPr>
          <w:rFonts w:ascii="Arial" w:hAnsi="Arial" w:cs="Arial"/>
        </w:rPr>
      </w:pPr>
    </w:p>
    <w:p w14:paraId="3E44991C" w14:textId="2EEA5C17" w:rsidR="00A74F38" w:rsidRPr="002F4D95" w:rsidRDefault="003409E2" w:rsidP="002F4D95">
      <w:pPr>
        <w:pStyle w:val="ListParagraph"/>
        <w:numPr>
          <w:ilvl w:val="1"/>
          <w:numId w:val="1"/>
        </w:numPr>
        <w:rPr>
          <w:rFonts w:ascii="Arial" w:hAnsi="Arial" w:cs="Arial"/>
        </w:rPr>
      </w:pPr>
      <w:r>
        <w:rPr>
          <w:rFonts w:ascii="Arial" w:hAnsi="Arial" w:cs="Arial"/>
        </w:rPr>
        <w:t>Minimum requirement for total primary mission aircraft inventory of Air Force Fighter Aircraft reduced from “1,145 to 1,112”. (Sec. 134)</w:t>
      </w:r>
    </w:p>
    <w:p w14:paraId="595E264C" w14:textId="77777777" w:rsidR="003409E2" w:rsidRPr="00A74F38" w:rsidRDefault="003409E2" w:rsidP="00A74F38">
      <w:pPr>
        <w:pStyle w:val="ListParagraph"/>
        <w:rPr>
          <w:rFonts w:ascii="Arial" w:hAnsi="Arial" w:cs="Arial"/>
          <w:highlight w:val="yellow"/>
        </w:rPr>
      </w:pPr>
    </w:p>
    <w:p w14:paraId="19B134D5" w14:textId="18F82CDA" w:rsidR="00A74F38" w:rsidRPr="00A74F38" w:rsidRDefault="005B2591" w:rsidP="00427C26">
      <w:pPr>
        <w:pStyle w:val="ListParagraph"/>
        <w:numPr>
          <w:ilvl w:val="1"/>
          <w:numId w:val="1"/>
        </w:numPr>
        <w:rPr>
          <w:rFonts w:ascii="Arial" w:hAnsi="Arial" w:cs="Arial"/>
        </w:rPr>
      </w:pPr>
      <w:r>
        <w:rPr>
          <w:rFonts w:ascii="Arial" w:hAnsi="Arial" w:cs="Arial"/>
        </w:rPr>
        <w:t xml:space="preserve">Requires </w:t>
      </w:r>
      <w:r w:rsidR="00564026">
        <w:rPr>
          <w:rFonts w:ascii="Arial" w:hAnsi="Arial" w:cs="Arial"/>
        </w:rPr>
        <w:t>t</w:t>
      </w:r>
      <w:r w:rsidR="00A74F38" w:rsidRPr="00A74F38">
        <w:rPr>
          <w:rFonts w:ascii="Arial" w:hAnsi="Arial" w:cs="Arial"/>
        </w:rPr>
        <w:t xml:space="preserve">he Secretary of the Air Force </w:t>
      </w:r>
      <w:r w:rsidR="00937999">
        <w:rPr>
          <w:rFonts w:ascii="Arial" w:hAnsi="Arial" w:cs="Arial"/>
        </w:rPr>
        <w:t xml:space="preserve">to </w:t>
      </w:r>
      <w:r w:rsidR="00A74F38" w:rsidRPr="00A74F38">
        <w:rPr>
          <w:rFonts w:ascii="Arial" w:hAnsi="Arial" w:cs="Arial"/>
        </w:rPr>
        <w:t xml:space="preserve">develop a long-term tactical fighter force structure, recapitalization, training, and sustainment plan for the active and reserve components of the Air Force. </w:t>
      </w:r>
      <w:r w:rsidR="00A74F38">
        <w:rPr>
          <w:rFonts w:ascii="Arial" w:hAnsi="Arial" w:cs="Arial"/>
        </w:rPr>
        <w:t>(Sec. 148)</w:t>
      </w:r>
    </w:p>
    <w:p w14:paraId="14C9D930" w14:textId="77777777" w:rsidR="002F4D95" w:rsidRPr="002F4D95" w:rsidRDefault="002F4D95" w:rsidP="002F4D95">
      <w:pPr>
        <w:rPr>
          <w:rFonts w:ascii="Arial" w:hAnsi="Arial" w:cs="Arial"/>
        </w:rPr>
      </w:pPr>
    </w:p>
    <w:p w14:paraId="3377A2D6" w14:textId="1B1657FE" w:rsidR="002F4D95" w:rsidRDefault="002F4D95" w:rsidP="002F4D95">
      <w:pPr>
        <w:pStyle w:val="ListParagraph"/>
        <w:numPr>
          <w:ilvl w:val="1"/>
          <w:numId w:val="1"/>
        </w:numPr>
        <w:rPr>
          <w:rFonts w:ascii="Arial" w:hAnsi="Arial" w:cs="Arial"/>
        </w:rPr>
      </w:pPr>
      <w:r>
        <w:rPr>
          <w:rFonts w:ascii="Arial" w:hAnsi="Arial" w:cs="Arial"/>
        </w:rPr>
        <w:t xml:space="preserve">Requires the </w:t>
      </w:r>
      <w:r w:rsidRPr="002F4D95">
        <w:rPr>
          <w:rFonts w:ascii="Arial" w:hAnsi="Arial" w:cs="Arial"/>
        </w:rPr>
        <w:t>Secretary of Defense shall submit to the congressional defense committees a report including the results of a study on the use of tactical fighter aircraft and bomber aircraft for deployments and homeland defense missions</w:t>
      </w:r>
      <w:r>
        <w:rPr>
          <w:rFonts w:ascii="Arial" w:hAnsi="Arial" w:cs="Arial"/>
        </w:rPr>
        <w:t xml:space="preserve"> (Sec. 1053), including: </w:t>
      </w:r>
    </w:p>
    <w:p w14:paraId="38F1B29C" w14:textId="6E43DB4C" w:rsidR="002F4D95" w:rsidRDefault="00CB4C36" w:rsidP="00337396">
      <w:pPr>
        <w:pStyle w:val="ListParagraph"/>
        <w:numPr>
          <w:ilvl w:val="0"/>
          <w:numId w:val="42"/>
        </w:numPr>
        <w:rPr>
          <w:rFonts w:ascii="Arial" w:hAnsi="Arial" w:cs="Arial"/>
        </w:rPr>
      </w:pPr>
      <w:r>
        <w:rPr>
          <w:rFonts w:ascii="Arial" w:hAnsi="Arial" w:cs="Arial"/>
        </w:rPr>
        <w:t>A</w:t>
      </w:r>
      <w:r w:rsidR="002F4D95">
        <w:rPr>
          <w:rFonts w:ascii="Arial" w:hAnsi="Arial" w:cs="Arial"/>
        </w:rPr>
        <w:t xml:space="preserve">ssessing </w:t>
      </w:r>
      <w:r w:rsidR="002F4D95" w:rsidRPr="002F4D95">
        <w:rPr>
          <w:rFonts w:ascii="Arial" w:hAnsi="Arial" w:cs="Arial"/>
        </w:rPr>
        <w:t>deployable forces currently available to fulfill each of those requirements, and whether those forces are adequate to meet the global requirements.</w:t>
      </w:r>
    </w:p>
    <w:p w14:paraId="19EC2349" w14:textId="20BA4DEB" w:rsidR="002F4D95" w:rsidRDefault="00CB4C36" w:rsidP="00337396">
      <w:pPr>
        <w:pStyle w:val="ListParagraph"/>
        <w:numPr>
          <w:ilvl w:val="0"/>
          <w:numId w:val="42"/>
        </w:numPr>
        <w:rPr>
          <w:rFonts w:ascii="Arial" w:hAnsi="Arial" w:cs="Arial"/>
        </w:rPr>
      </w:pPr>
      <w:r>
        <w:rPr>
          <w:rFonts w:ascii="Arial" w:hAnsi="Arial" w:cs="Arial"/>
        </w:rPr>
        <w:t>A</w:t>
      </w:r>
      <w:r w:rsidR="002F4D95">
        <w:rPr>
          <w:rFonts w:ascii="Arial" w:hAnsi="Arial" w:cs="Arial"/>
        </w:rPr>
        <w:t xml:space="preserve">ssessing </w:t>
      </w:r>
      <w:r w:rsidR="002F4D95" w:rsidRPr="002F4D95">
        <w:rPr>
          <w:rFonts w:ascii="Arial" w:hAnsi="Arial" w:cs="Arial"/>
        </w:rPr>
        <w:t xml:space="preserve">whether adequate consideration has been put into fighter coverage of the homeland during these deployments, </w:t>
      </w:r>
      <w:proofErr w:type="gramStart"/>
      <w:r w:rsidR="002F4D95" w:rsidRPr="002F4D95">
        <w:rPr>
          <w:rFonts w:ascii="Arial" w:hAnsi="Arial" w:cs="Arial"/>
        </w:rPr>
        <w:t>in particular within</w:t>
      </w:r>
      <w:proofErr w:type="gramEnd"/>
      <w:r w:rsidR="002F4D95" w:rsidRPr="002F4D95">
        <w:rPr>
          <w:rFonts w:ascii="Arial" w:hAnsi="Arial" w:cs="Arial"/>
        </w:rPr>
        <w:t xml:space="preserve"> the Alaska Area of Responsibility and the Hawaii Area of Responsibility</w:t>
      </w:r>
      <w:r w:rsidR="002F4D95">
        <w:rPr>
          <w:rFonts w:ascii="Arial" w:hAnsi="Arial" w:cs="Arial"/>
        </w:rPr>
        <w:t>.</w:t>
      </w:r>
    </w:p>
    <w:p w14:paraId="58CF0383" w14:textId="7D2597DD" w:rsidR="002F4D95" w:rsidRPr="00992245" w:rsidRDefault="002F4D95" w:rsidP="00337396">
      <w:pPr>
        <w:pStyle w:val="ListParagraph"/>
        <w:numPr>
          <w:ilvl w:val="0"/>
          <w:numId w:val="42"/>
        </w:numPr>
        <w:rPr>
          <w:rFonts w:ascii="Arial" w:hAnsi="Arial" w:cs="Arial"/>
        </w:rPr>
      </w:pPr>
      <w:r w:rsidRPr="00992245">
        <w:rPr>
          <w:rFonts w:ascii="Arial" w:hAnsi="Arial" w:cs="Arial"/>
        </w:rPr>
        <w:t>and assessing Air Force and Navy active duty, Air National Guard, and reserve land-based tactical fighter units that could be considered for inclusion into homeland defense mission requirements.</w:t>
      </w:r>
    </w:p>
    <w:p w14:paraId="5C99017E" w14:textId="77777777" w:rsidR="00D54E85" w:rsidRPr="00D54E85" w:rsidRDefault="00D54E85" w:rsidP="00D54E85">
      <w:pPr>
        <w:pStyle w:val="ListParagraph"/>
        <w:rPr>
          <w:rFonts w:ascii="Arial" w:hAnsi="Arial" w:cs="Arial"/>
        </w:rPr>
      </w:pPr>
    </w:p>
    <w:bookmarkEnd w:id="4"/>
    <w:p w14:paraId="7D96D18C" w14:textId="77777777" w:rsidR="00CB4C36" w:rsidRPr="00BC755A" w:rsidRDefault="00CB4C36" w:rsidP="00CB4C36">
      <w:pPr>
        <w:pStyle w:val="ListParagraph"/>
        <w:numPr>
          <w:ilvl w:val="1"/>
          <w:numId w:val="1"/>
        </w:numPr>
        <w:rPr>
          <w:rFonts w:ascii="Arial" w:hAnsi="Arial" w:cs="Arial"/>
        </w:rPr>
      </w:pPr>
      <w:r w:rsidRPr="00BC755A">
        <w:rPr>
          <w:rFonts w:ascii="Arial" w:hAnsi="Arial" w:cs="Arial"/>
        </w:rPr>
        <w:t>Revision of requirement for transfer of certain</w:t>
      </w:r>
      <w:r>
        <w:rPr>
          <w:rFonts w:ascii="Arial" w:hAnsi="Arial" w:cs="Arial"/>
        </w:rPr>
        <w:t xml:space="preserve"> HC-130H </w:t>
      </w:r>
      <w:r w:rsidRPr="00BC755A">
        <w:rPr>
          <w:rFonts w:ascii="Arial" w:hAnsi="Arial" w:cs="Arial"/>
        </w:rPr>
        <w:t>aircraft to State of California for wildfire suppression</w:t>
      </w:r>
      <w:r>
        <w:rPr>
          <w:rFonts w:ascii="Arial" w:hAnsi="Arial" w:cs="Arial"/>
        </w:rPr>
        <w:t xml:space="preserve"> </w:t>
      </w:r>
      <w:r w:rsidRPr="00BC755A">
        <w:rPr>
          <w:rFonts w:ascii="Arial" w:hAnsi="Arial" w:cs="Arial"/>
        </w:rPr>
        <w:t>purposes</w:t>
      </w:r>
      <w:r>
        <w:rPr>
          <w:rFonts w:ascii="Arial" w:hAnsi="Arial" w:cs="Arial"/>
        </w:rPr>
        <w:t xml:space="preserve"> (Sec. 1810) Includes the following provisions:</w:t>
      </w:r>
    </w:p>
    <w:p w14:paraId="1DF1E554" w14:textId="77777777" w:rsidR="00CB4C36" w:rsidRDefault="00CB4C36" w:rsidP="00CB4C36">
      <w:pPr>
        <w:pStyle w:val="ListParagraph"/>
        <w:numPr>
          <w:ilvl w:val="2"/>
          <w:numId w:val="1"/>
        </w:numPr>
        <w:rPr>
          <w:rFonts w:ascii="Arial" w:hAnsi="Arial" w:cs="Arial"/>
        </w:rPr>
      </w:pPr>
      <w:r w:rsidRPr="00BC755A">
        <w:rPr>
          <w:rFonts w:ascii="Arial" w:hAnsi="Arial" w:cs="Arial"/>
        </w:rPr>
        <w:t>A requirement for</w:t>
      </w:r>
      <w:r>
        <w:rPr>
          <w:rFonts w:ascii="Arial" w:hAnsi="Arial" w:cs="Arial"/>
        </w:rPr>
        <w:t xml:space="preserve"> </w:t>
      </w:r>
      <w:r w:rsidRPr="00BC755A">
        <w:rPr>
          <w:rFonts w:ascii="Arial" w:hAnsi="Arial" w:cs="Arial"/>
        </w:rPr>
        <w:t>demilitarizing the aircraft before transfer</w:t>
      </w:r>
      <w:r>
        <w:rPr>
          <w:rFonts w:ascii="Arial" w:hAnsi="Arial" w:cs="Arial"/>
        </w:rPr>
        <w:t>.</w:t>
      </w:r>
    </w:p>
    <w:p w14:paraId="63F77D3D" w14:textId="77777777" w:rsidR="00CB4C36" w:rsidRPr="00BC755A" w:rsidRDefault="00CB4C36" w:rsidP="00CB4C36">
      <w:pPr>
        <w:pStyle w:val="ListParagraph"/>
        <w:numPr>
          <w:ilvl w:val="2"/>
          <w:numId w:val="1"/>
        </w:numPr>
        <w:rPr>
          <w:rFonts w:ascii="Arial" w:hAnsi="Arial" w:cs="Arial"/>
        </w:rPr>
      </w:pPr>
      <w:r w:rsidRPr="00BC755A">
        <w:rPr>
          <w:rFonts w:ascii="Arial" w:hAnsi="Arial" w:cs="Arial"/>
        </w:rPr>
        <w:t>A provision</w:t>
      </w:r>
      <w:r>
        <w:rPr>
          <w:rFonts w:ascii="Arial" w:hAnsi="Arial" w:cs="Arial"/>
        </w:rPr>
        <w:t xml:space="preserve"> </w:t>
      </w:r>
      <w:r w:rsidRPr="00BC755A">
        <w:rPr>
          <w:rFonts w:ascii="Arial" w:hAnsi="Arial" w:cs="Arial"/>
        </w:rPr>
        <w:t>that California would be required to use the Department of</w:t>
      </w:r>
      <w:r>
        <w:rPr>
          <w:rFonts w:ascii="Arial" w:hAnsi="Arial" w:cs="Arial"/>
        </w:rPr>
        <w:t xml:space="preserve"> </w:t>
      </w:r>
      <w:r w:rsidRPr="00BC755A">
        <w:rPr>
          <w:rFonts w:ascii="Arial" w:hAnsi="Arial" w:cs="Arial"/>
        </w:rPr>
        <w:t>Defense excess personal property program to dispose of the aircraft and materials when the State is finished with them</w:t>
      </w:r>
      <w:r>
        <w:rPr>
          <w:rFonts w:ascii="Arial" w:hAnsi="Arial" w:cs="Arial"/>
        </w:rPr>
        <w:t>.</w:t>
      </w:r>
    </w:p>
    <w:p w14:paraId="2282160B" w14:textId="2D558752" w:rsidR="00CB4C36" w:rsidRPr="00337396" w:rsidRDefault="00CB4C36" w:rsidP="00337396">
      <w:pPr>
        <w:pStyle w:val="ListParagraph"/>
        <w:numPr>
          <w:ilvl w:val="2"/>
          <w:numId w:val="1"/>
        </w:numPr>
        <w:rPr>
          <w:rFonts w:ascii="Arial" w:hAnsi="Arial" w:cs="Arial"/>
        </w:rPr>
      </w:pPr>
      <w:r w:rsidRPr="00BC755A">
        <w:rPr>
          <w:rFonts w:ascii="Arial" w:hAnsi="Arial" w:cs="Arial"/>
        </w:rPr>
        <w:t>A stipulation that any costs incurred after the transfer</w:t>
      </w:r>
      <w:r>
        <w:rPr>
          <w:rFonts w:ascii="Arial" w:hAnsi="Arial" w:cs="Arial"/>
        </w:rPr>
        <w:t xml:space="preserve"> </w:t>
      </w:r>
      <w:r w:rsidRPr="00BC755A">
        <w:rPr>
          <w:rFonts w:ascii="Arial" w:hAnsi="Arial" w:cs="Arial"/>
        </w:rPr>
        <w:t>would be the responsibility of the State of California.</w:t>
      </w:r>
    </w:p>
    <w:p w14:paraId="69183A0F" w14:textId="77777777" w:rsidR="00C20F3A" w:rsidRPr="009A1744" w:rsidRDefault="00C20F3A" w:rsidP="00AC2D2D">
      <w:pPr>
        <w:pStyle w:val="ListParagraph"/>
        <w:rPr>
          <w:rFonts w:ascii="Arial" w:hAnsi="Arial" w:cs="Arial"/>
          <w:highlight w:val="yellow"/>
        </w:rPr>
      </w:pPr>
    </w:p>
    <w:p w14:paraId="1EB30352" w14:textId="61784583" w:rsidR="005E052C" w:rsidRPr="00000B81" w:rsidRDefault="00145B3D" w:rsidP="005E052C">
      <w:pPr>
        <w:rPr>
          <w:rFonts w:ascii="Arial" w:hAnsi="Arial" w:cs="Arial"/>
          <w:b/>
          <w:color w:val="54256B"/>
          <w:sz w:val="24"/>
          <w:szCs w:val="28"/>
        </w:rPr>
      </w:pPr>
      <w:r w:rsidRPr="00000B81">
        <w:rPr>
          <w:rFonts w:ascii="Arial" w:hAnsi="Arial" w:cs="Arial"/>
          <w:b/>
          <w:color w:val="54256B"/>
          <w:sz w:val="24"/>
          <w:szCs w:val="28"/>
        </w:rPr>
        <w:t>J</w:t>
      </w:r>
      <w:r w:rsidR="005E052C" w:rsidRPr="00000B81">
        <w:rPr>
          <w:rFonts w:ascii="Arial" w:hAnsi="Arial" w:cs="Arial"/>
          <w:b/>
          <w:color w:val="54256B"/>
          <w:sz w:val="24"/>
          <w:szCs w:val="28"/>
        </w:rPr>
        <w:t>oint-Personnel</w:t>
      </w:r>
    </w:p>
    <w:p w14:paraId="07DBB075" w14:textId="77777777" w:rsidR="00D52E8C" w:rsidRPr="009A1744" w:rsidRDefault="00D52E8C" w:rsidP="00D52E8C">
      <w:pPr>
        <w:pStyle w:val="ListParagraph"/>
        <w:ind w:left="1080"/>
        <w:rPr>
          <w:rFonts w:ascii="Arial" w:hAnsi="Arial" w:cs="Arial"/>
          <w:highlight w:val="yellow"/>
        </w:rPr>
      </w:pPr>
    </w:p>
    <w:p w14:paraId="3269593C" w14:textId="7BB1B5DB" w:rsidR="004A7371" w:rsidRPr="004A7371" w:rsidRDefault="004A7371" w:rsidP="004A7371">
      <w:pPr>
        <w:pStyle w:val="ListParagraph"/>
        <w:numPr>
          <w:ilvl w:val="1"/>
          <w:numId w:val="39"/>
        </w:numPr>
        <w:rPr>
          <w:rFonts w:ascii="Arial" w:hAnsi="Arial" w:cs="Arial"/>
        </w:rPr>
      </w:pPr>
      <w:bookmarkStart w:id="5" w:name="_Hlk152862538"/>
      <w:r w:rsidRPr="004A7371">
        <w:rPr>
          <w:rFonts w:ascii="Arial" w:hAnsi="Arial" w:cs="Arial"/>
        </w:rPr>
        <w:t>Authorizes a 5.2 percent military and civilian personnel pay raise.</w:t>
      </w:r>
    </w:p>
    <w:p w14:paraId="5CE3C0EB" w14:textId="77777777" w:rsidR="004A7371" w:rsidRDefault="004A7371" w:rsidP="004A7371">
      <w:pPr>
        <w:pStyle w:val="ListParagraph"/>
        <w:rPr>
          <w:rFonts w:ascii="Arial" w:hAnsi="Arial" w:cs="Arial"/>
        </w:rPr>
      </w:pPr>
    </w:p>
    <w:p w14:paraId="342A1B51" w14:textId="77777777" w:rsidR="00337396" w:rsidRDefault="00DE763C" w:rsidP="00992245">
      <w:pPr>
        <w:pStyle w:val="ListParagraph"/>
        <w:numPr>
          <w:ilvl w:val="1"/>
          <w:numId w:val="39"/>
        </w:numPr>
        <w:rPr>
          <w:rFonts w:ascii="Arial" w:hAnsi="Arial" w:cs="Arial"/>
        </w:rPr>
      </w:pPr>
      <w:r w:rsidRPr="00992245">
        <w:rPr>
          <w:rFonts w:ascii="Arial" w:hAnsi="Arial" w:cs="Arial"/>
        </w:rPr>
        <w:t>$1</w:t>
      </w:r>
      <w:r w:rsidR="001954F8" w:rsidRPr="00992245">
        <w:rPr>
          <w:rFonts w:ascii="Arial" w:hAnsi="Arial" w:cs="Arial"/>
        </w:rPr>
        <w:t>2</w:t>
      </w:r>
      <w:r w:rsidRPr="00992245">
        <w:rPr>
          <w:rFonts w:ascii="Arial" w:hAnsi="Arial" w:cs="Arial"/>
        </w:rPr>
        <w:t>2.3</w:t>
      </w:r>
      <w:r w:rsidR="00337396">
        <w:rPr>
          <w:rFonts w:ascii="Arial" w:hAnsi="Arial" w:cs="Arial"/>
        </w:rPr>
        <w:t>M</w:t>
      </w:r>
      <w:r w:rsidRPr="00992245">
        <w:rPr>
          <w:rFonts w:ascii="Arial" w:hAnsi="Arial" w:cs="Arial"/>
        </w:rPr>
        <w:t xml:space="preserve"> for the National </w:t>
      </w:r>
      <w:r w:rsidR="009E75A5" w:rsidRPr="00992245">
        <w:rPr>
          <w:rFonts w:ascii="Arial" w:hAnsi="Arial" w:cs="Arial"/>
        </w:rPr>
        <w:t>Guard</w:t>
      </w:r>
      <w:r w:rsidRPr="00992245">
        <w:rPr>
          <w:rFonts w:ascii="Arial" w:hAnsi="Arial" w:cs="Arial"/>
        </w:rPr>
        <w:t xml:space="preserve"> Counter-</w:t>
      </w:r>
      <w:r w:rsidR="009E75A5" w:rsidRPr="00992245">
        <w:rPr>
          <w:rFonts w:ascii="Arial" w:hAnsi="Arial" w:cs="Arial"/>
        </w:rPr>
        <w:t>d</w:t>
      </w:r>
      <w:r w:rsidRPr="00992245">
        <w:rPr>
          <w:rFonts w:ascii="Arial" w:hAnsi="Arial" w:cs="Arial"/>
        </w:rPr>
        <w:t>rug program</w:t>
      </w:r>
    </w:p>
    <w:p w14:paraId="4E66B20A" w14:textId="77777777" w:rsidR="00337396" w:rsidRPr="00337396" w:rsidRDefault="00337396" w:rsidP="00337396">
      <w:pPr>
        <w:pStyle w:val="ListParagraph"/>
        <w:rPr>
          <w:rFonts w:ascii="Arial" w:hAnsi="Arial" w:cs="Arial"/>
        </w:rPr>
      </w:pPr>
    </w:p>
    <w:p w14:paraId="7C27A836" w14:textId="613B381F" w:rsidR="00DE763C" w:rsidRPr="00337396" w:rsidRDefault="00337396" w:rsidP="00337396">
      <w:pPr>
        <w:pStyle w:val="ListParagraph"/>
        <w:numPr>
          <w:ilvl w:val="0"/>
          <w:numId w:val="41"/>
        </w:numPr>
        <w:rPr>
          <w:rFonts w:ascii="Arial" w:hAnsi="Arial" w:cs="Arial"/>
        </w:rPr>
      </w:pPr>
      <w:r>
        <w:rPr>
          <w:rFonts w:ascii="Arial" w:hAnsi="Arial" w:cs="Arial"/>
        </w:rPr>
        <w:t>Increase of $20M from the PB Request.</w:t>
      </w:r>
    </w:p>
    <w:p w14:paraId="5061C1E1" w14:textId="77777777" w:rsidR="009E75A5" w:rsidRPr="009A1744" w:rsidRDefault="009E75A5" w:rsidP="009E75A5">
      <w:pPr>
        <w:pStyle w:val="ListParagraph"/>
        <w:rPr>
          <w:rFonts w:ascii="Arial" w:hAnsi="Arial" w:cs="Arial"/>
          <w:highlight w:val="yellow"/>
        </w:rPr>
      </w:pPr>
    </w:p>
    <w:p w14:paraId="1DBAA466" w14:textId="3A52C737" w:rsidR="00D52125" w:rsidRPr="00337396" w:rsidRDefault="009E75A5" w:rsidP="00337396">
      <w:pPr>
        <w:pStyle w:val="ListParagraph"/>
        <w:numPr>
          <w:ilvl w:val="1"/>
          <w:numId w:val="39"/>
        </w:numPr>
        <w:rPr>
          <w:rFonts w:ascii="Arial" w:hAnsi="Arial" w:cs="Arial"/>
        </w:rPr>
      </w:pPr>
      <w:r w:rsidRPr="00992245">
        <w:rPr>
          <w:rFonts w:ascii="Arial" w:hAnsi="Arial" w:cs="Arial"/>
        </w:rPr>
        <w:t>$</w:t>
      </w:r>
      <w:r w:rsidR="001954F8" w:rsidRPr="00992245">
        <w:rPr>
          <w:rFonts w:ascii="Arial" w:hAnsi="Arial" w:cs="Arial"/>
        </w:rPr>
        <w:t>11</w:t>
      </w:r>
      <w:r w:rsidR="00337396">
        <w:rPr>
          <w:rFonts w:ascii="Arial" w:hAnsi="Arial" w:cs="Arial"/>
        </w:rPr>
        <w:t>M</w:t>
      </w:r>
      <w:r w:rsidRPr="00992245">
        <w:rPr>
          <w:rFonts w:ascii="Arial" w:hAnsi="Arial" w:cs="Arial"/>
        </w:rPr>
        <w:t xml:space="preserve"> for National Guard Counter-drug </w:t>
      </w:r>
      <w:r w:rsidR="007F097F" w:rsidRPr="00992245">
        <w:rPr>
          <w:rFonts w:ascii="Arial" w:hAnsi="Arial" w:cs="Arial"/>
        </w:rPr>
        <w:t>s</w:t>
      </w:r>
      <w:r w:rsidRPr="00992245">
        <w:rPr>
          <w:rFonts w:ascii="Arial" w:hAnsi="Arial" w:cs="Arial"/>
        </w:rPr>
        <w:t>chools</w:t>
      </w:r>
      <w:r w:rsidR="00337396">
        <w:rPr>
          <w:rFonts w:ascii="Arial" w:hAnsi="Arial" w:cs="Arial"/>
        </w:rPr>
        <w:t>.</w:t>
      </w:r>
    </w:p>
    <w:p w14:paraId="02EF316E" w14:textId="4D3C4F4A" w:rsidR="00CB427B" w:rsidRPr="00337396" w:rsidRDefault="00CB427B" w:rsidP="00337396">
      <w:pPr>
        <w:pStyle w:val="ListParagraph"/>
        <w:numPr>
          <w:ilvl w:val="0"/>
          <w:numId w:val="41"/>
        </w:numPr>
        <w:rPr>
          <w:rFonts w:ascii="Arial" w:hAnsi="Arial" w:cs="Arial"/>
        </w:rPr>
      </w:pPr>
      <w:r w:rsidRPr="00337396">
        <w:rPr>
          <w:rFonts w:ascii="Arial" w:hAnsi="Arial" w:cs="Arial"/>
        </w:rPr>
        <w:lastRenderedPageBreak/>
        <w:t xml:space="preserve">Increases spending cap to $15,000 on counter-drug equipment procured by the National Guard requiring advanced approval from the Secretary of Defense. </w:t>
      </w:r>
    </w:p>
    <w:p w14:paraId="04A875F7" w14:textId="77777777" w:rsidR="001954F8" w:rsidRPr="001954F8" w:rsidRDefault="001954F8" w:rsidP="001954F8">
      <w:pPr>
        <w:rPr>
          <w:rFonts w:ascii="Arial" w:hAnsi="Arial" w:cs="Arial"/>
        </w:rPr>
      </w:pPr>
    </w:p>
    <w:p w14:paraId="58593C6D" w14:textId="1DCFD57B" w:rsidR="001954F8" w:rsidRPr="00992245" w:rsidRDefault="001954F8" w:rsidP="00992245">
      <w:pPr>
        <w:pStyle w:val="ListParagraph"/>
        <w:numPr>
          <w:ilvl w:val="1"/>
          <w:numId w:val="39"/>
        </w:numPr>
        <w:rPr>
          <w:rFonts w:ascii="Arial" w:hAnsi="Arial" w:cs="Arial"/>
        </w:rPr>
      </w:pPr>
      <w:r w:rsidRPr="00992245">
        <w:rPr>
          <w:rFonts w:ascii="Arial" w:hAnsi="Arial" w:cs="Arial"/>
        </w:rPr>
        <w:t>$83.5</w:t>
      </w:r>
      <w:r w:rsidR="00337396">
        <w:rPr>
          <w:rFonts w:ascii="Arial" w:hAnsi="Arial" w:cs="Arial"/>
        </w:rPr>
        <w:t>M</w:t>
      </w:r>
      <w:r w:rsidRPr="00992245">
        <w:rPr>
          <w:rFonts w:ascii="Arial" w:hAnsi="Arial" w:cs="Arial"/>
        </w:rPr>
        <w:t xml:space="preserve"> for the National Guard Youth Challenge</w:t>
      </w:r>
      <w:r w:rsidR="0063135F">
        <w:rPr>
          <w:rFonts w:ascii="Arial" w:hAnsi="Arial" w:cs="Arial"/>
        </w:rPr>
        <w:t>.</w:t>
      </w:r>
    </w:p>
    <w:p w14:paraId="337FE4AD" w14:textId="77777777" w:rsidR="00CB427B" w:rsidRPr="00D0758E" w:rsidRDefault="00CB427B" w:rsidP="00D0758E">
      <w:pPr>
        <w:rPr>
          <w:rFonts w:ascii="Arial" w:hAnsi="Arial" w:cs="Arial"/>
          <w:highlight w:val="yellow"/>
        </w:rPr>
      </w:pPr>
    </w:p>
    <w:p w14:paraId="1A625FE1" w14:textId="493D8808" w:rsidR="00046A37" w:rsidRDefault="00CB427B" w:rsidP="00337396">
      <w:pPr>
        <w:pStyle w:val="ListParagraph"/>
        <w:numPr>
          <w:ilvl w:val="1"/>
          <w:numId w:val="39"/>
        </w:numPr>
        <w:rPr>
          <w:rFonts w:ascii="Arial" w:hAnsi="Arial" w:cs="Arial"/>
        </w:rPr>
      </w:pPr>
      <w:r w:rsidRPr="00992245">
        <w:rPr>
          <w:rFonts w:ascii="Arial" w:hAnsi="Arial" w:cs="Arial"/>
        </w:rPr>
        <w:t>$1</w:t>
      </w:r>
      <w:r w:rsidR="001954F8" w:rsidRPr="00992245">
        <w:rPr>
          <w:rFonts w:ascii="Arial" w:hAnsi="Arial" w:cs="Arial"/>
        </w:rPr>
        <w:t>00</w:t>
      </w:r>
      <w:r w:rsidR="00337396">
        <w:rPr>
          <w:rFonts w:ascii="Arial" w:hAnsi="Arial" w:cs="Arial"/>
        </w:rPr>
        <w:t>M</w:t>
      </w:r>
      <w:r w:rsidRPr="00992245">
        <w:rPr>
          <w:rFonts w:ascii="Arial" w:hAnsi="Arial" w:cs="Arial"/>
        </w:rPr>
        <w:t xml:space="preserve"> for </w:t>
      </w:r>
      <w:r w:rsidR="005B2591" w:rsidRPr="00992245">
        <w:rPr>
          <w:rFonts w:ascii="Arial" w:hAnsi="Arial" w:cs="Arial"/>
        </w:rPr>
        <w:t xml:space="preserve">undifferentiated </w:t>
      </w:r>
      <w:r w:rsidRPr="00992245">
        <w:rPr>
          <w:rFonts w:ascii="Arial" w:hAnsi="Arial" w:cs="Arial"/>
        </w:rPr>
        <w:t>National Guard and Reserve equipment</w:t>
      </w:r>
      <w:r w:rsidR="0063135F">
        <w:rPr>
          <w:rFonts w:ascii="Arial" w:hAnsi="Arial" w:cs="Arial"/>
        </w:rPr>
        <w:t>.</w:t>
      </w:r>
    </w:p>
    <w:p w14:paraId="5F0535D6" w14:textId="77777777" w:rsidR="00337396" w:rsidRPr="00337396" w:rsidRDefault="00337396" w:rsidP="00337396">
      <w:pPr>
        <w:rPr>
          <w:rFonts w:ascii="Arial" w:hAnsi="Arial" w:cs="Arial"/>
        </w:rPr>
      </w:pPr>
    </w:p>
    <w:p w14:paraId="6007DD4C" w14:textId="528EF1D4" w:rsidR="0064234E" w:rsidRPr="00992245" w:rsidRDefault="0005566F" w:rsidP="00992245">
      <w:pPr>
        <w:pStyle w:val="ListParagraph"/>
        <w:numPr>
          <w:ilvl w:val="1"/>
          <w:numId w:val="39"/>
        </w:numPr>
        <w:rPr>
          <w:rFonts w:ascii="Arial" w:hAnsi="Arial" w:cs="Arial"/>
        </w:rPr>
      </w:pPr>
      <w:r w:rsidRPr="00992245">
        <w:rPr>
          <w:rFonts w:ascii="Arial" w:hAnsi="Arial" w:cs="Arial"/>
        </w:rPr>
        <w:t xml:space="preserve">Aligns National Guard and Reserve parental leave eligibility with active-duty standards to include both parents welcoming a new child into their lives, through either birth, adoption, or long-term foster care. </w:t>
      </w:r>
      <w:r w:rsidR="009E75A5" w:rsidRPr="00992245">
        <w:rPr>
          <w:rFonts w:ascii="Arial" w:hAnsi="Arial" w:cs="Arial"/>
        </w:rPr>
        <w:t xml:space="preserve"> </w:t>
      </w:r>
    </w:p>
    <w:p w14:paraId="28C190DD" w14:textId="77777777" w:rsidR="0064234E" w:rsidRPr="009A1744" w:rsidRDefault="0064234E" w:rsidP="0064234E">
      <w:pPr>
        <w:pStyle w:val="ListParagraph"/>
        <w:rPr>
          <w:rFonts w:ascii="Arial" w:hAnsi="Arial" w:cs="Arial"/>
          <w:highlight w:val="yellow"/>
        </w:rPr>
      </w:pPr>
    </w:p>
    <w:p w14:paraId="4215579A" w14:textId="1093C1F3" w:rsidR="00DE763C" w:rsidRPr="00992245" w:rsidRDefault="0064234E" w:rsidP="00992245">
      <w:pPr>
        <w:pStyle w:val="ListParagraph"/>
        <w:numPr>
          <w:ilvl w:val="1"/>
          <w:numId w:val="39"/>
        </w:numPr>
        <w:rPr>
          <w:rFonts w:ascii="Arial" w:hAnsi="Arial" w:cs="Arial"/>
        </w:rPr>
      </w:pPr>
      <w:r w:rsidRPr="00992245">
        <w:rPr>
          <w:rFonts w:ascii="Arial" w:hAnsi="Arial" w:cs="Arial"/>
        </w:rPr>
        <w:t>Extension of period of eligibility for health benefits under TRICARE</w:t>
      </w:r>
      <w:r w:rsidR="00D0758E" w:rsidRPr="00992245">
        <w:rPr>
          <w:rFonts w:ascii="Arial" w:hAnsi="Arial" w:cs="Arial"/>
        </w:rPr>
        <w:t xml:space="preserve"> </w:t>
      </w:r>
      <w:r w:rsidRPr="00992245">
        <w:rPr>
          <w:rFonts w:ascii="Arial" w:hAnsi="Arial" w:cs="Arial"/>
        </w:rPr>
        <w:t>Reserve Select for survivors of a member of the Selected Reserve.</w:t>
      </w:r>
      <w:r w:rsidR="00D0758E" w:rsidRPr="00992245">
        <w:rPr>
          <w:rFonts w:ascii="Arial" w:hAnsi="Arial" w:cs="Arial"/>
        </w:rPr>
        <w:t xml:space="preserve"> (Section 701) </w:t>
      </w:r>
    </w:p>
    <w:bookmarkEnd w:id="5"/>
    <w:p w14:paraId="67AB8EC3" w14:textId="77777777" w:rsidR="0064234E" w:rsidRPr="009A1744" w:rsidRDefault="0064234E" w:rsidP="0064234E">
      <w:pPr>
        <w:rPr>
          <w:rFonts w:ascii="Arial" w:hAnsi="Arial" w:cs="Arial"/>
          <w:highlight w:val="yellow"/>
        </w:rPr>
      </w:pPr>
    </w:p>
    <w:p w14:paraId="2C4D392C" w14:textId="2476C9C7" w:rsidR="00A76257" w:rsidRPr="00992245" w:rsidRDefault="00A76257" w:rsidP="00992245">
      <w:pPr>
        <w:pStyle w:val="ListParagraph"/>
        <w:numPr>
          <w:ilvl w:val="1"/>
          <w:numId w:val="39"/>
        </w:numPr>
        <w:rPr>
          <w:rFonts w:ascii="Arial" w:hAnsi="Arial" w:cs="Arial"/>
        </w:rPr>
      </w:pPr>
      <w:r w:rsidRPr="00992245">
        <w:rPr>
          <w:rFonts w:ascii="Arial" w:hAnsi="Arial" w:cs="Arial"/>
        </w:rPr>
        <w:t xml:space="preserve">Requires the Secretary of Defense to conduct a review of military pay rates and submit the results along with a legislative proposal by March 1, 2024. </w:t>
      </w:r>
    </w:p>
    <w:p w14:paraId="56BC97F2" w14:textId="77777777" w:rsidR="00427C26" w:rsidRPr="009A1744" w:rsidRDefault="00427C26" w:rsidP="00427C26">
      <w:pPr>
        <w:pStyle w:val="ListParagraph"/>
        <w:rPr>
          <w:rFonts w:ascii="Arial" w:hAnsi="Arial" w:cs="Arial"/>
          <w:highlight w:val="yellow"/>
        </w:rPr>
      </w:pPr>
    </w:p>
    <w:p w14:paraId="0C7983FD" w14:textId="7622549F" w:rsidR="00D52E8C" w:rsidRPr="00992245" w:rsidRDefault="00E174FA" w:rsidP="00992245">
      <w:pPr>
        <w:pStyle w:val="ListParagraph"/>
        <w:numPr>
          <w:ilvl w:val="1"/>
          <w:numId w:val="39"/>
        </w:numPr>
        <w:rPr>
          <w:rFonts w:ascii="Arial" w:hAnsi="Arial" w:cs="Arial"/>
        </w:rPr>
      </w:pPr>
      <w:r w:rsidRPr="00992245">
        <w:rPr>
          <w:rFonts w:ascii="Arial" w:hAnsi="Arial" w:cs="Arial"/>
        </w:rPr>
        <w:t>Requires the Secretary of Defense to alternate appointments of deputy commanders for certain combatant commands between officers of the National Guard and the Reserves no less frequently than every two terms. The provision would authorize the Secretary of Defense to waive the requirements of this provision when in the national interest.</w:t>
      </w:r>
    </w:p>
    <w:p w14:paraId="68FBE39F" w14:textId="77777777" w:rsidR="00A76257" w:rsidRPr="009A1744" w:rsidRDefault="00A76257" w:rsidP="00A76257">
      <w:pPr>
        <w:pStyle w:val="ListParagraph"/>
        <w:rPr>
          <w:rFonts w:ascii="Arial" w:hAnsi="Arial" w:cs="Arial"/>
          <w:highlight w:val="yellow"/>
        </w:rPr>
      </w:pPr>
    </w:p>
    <w:p w14:paraId="48F30E01" w14:textId="1A32A8D9" w:rsidR="007B2D35" w:rsidRPr="00992245" w:rsidRDefault="0050471B" w:rsidP="00992245">
      <w:pPr>
        <w:pStyle w:val="ListParagraph"/>
        <w:numPr>
          <w:ilvl w:val="1"/>
          <w:numId w:val="39"/>
        </w:numPr>
        <w:rPr>
          <w:rFonts w:ascii="Arial" w:hAnsi="Arial" w:cs="Arial"/>
        </w:rPr>
      </w:pPr>
      <w:r w:rsidRPr="00992245">
        <w:rPr>
          <w:rFonts w:ascii="Arial" w:hAnsi="Arial" w:cs="Arial"/>
        </w:rPr>
        <w:t>Authorizes</w:t>
      </w:r>
      <w:r w:rsidR="001026F1" w:rsidRPr="00992245">
        <w:rPr>
          <w:rFonts w:ascii="Arial" w:hAnsi="Arial" w:cs="Arial"/>
        </w:rPr>
        <w:t xml:space="preserve"> that the Vice Chief of the National Guard Bureau be appointed </w:t>
      </w:r>
      <w:r w:rsidR="00E174FA" w:rsidRPr="00992245">
        <w:rPr>
          <w:rFonts w:ascii="Arial" w:hAnsi="Arial" w:cs="Arial"/>
        </w:rPr>
        <w:t>to</w:t>
      </w:r>
      <w:r w:rsidR="001026F1" w:rsidRPr="00992245">
        <w:rPr>
          <w:rFonts w:ascii="Arial" w:hAnsi="Arial" w:cs="Arial"/>
        </w:rPr>
        <w:t xml:space="preserve"> serve in the grade of general and that the Secretary of Defense designate this position as one of the general officer positions. </w:t>
      </w:r>
    </w:p>
    <w:p w14:paraId="0EA408CD" w14:textId="77777777" w:rsidR="00B95BA9" w:rsidRPr="00000BB4" w:rsidRDefault="00B95BA9" w:rsidP="00000BB4">
      <w:pPr>
        <w:rPr>
          <w:rFonts w:ascii="Arial" w:hAnsi="Arial" w:cs="Arial"/>
          <w:b/>
          <w:color w:val="54256B"/>
          <w:sz w:val="24"/>
          <w:szCs w:val="28"/>
          <w:highlight w:val="yellow"/>
        </w:rPr>
      </w:pPr>
    </w:p>
    <w:p w14:paraId="7EC9613B" w14:textId="7E704790" w:rsidR="00B95BA9" w:rsidRPr="00992245" w:rsidRDefault="00B95BA9" w:rsidP="00992245">
      <w:pPr>
        <w:pStyle w:val="ListParagraph"/>
        <w:numPr>
          <w:ilvl w:val="1"/>
          <w:numId w:val="39"/>
        </w:numPr>
        <w:rPr>
          <w:rFonts w:ascii="Arial" w:hAnsi="Arial" w:cs="Arial"/>
          <w:bCs/>
        </w:rPr>
      </w:pPr>
      <w:r w:rsidRPr="00992245">
        <w:rPr>
          <w:rFonts w:ascii="Arial" w:hAnsi="Arial" w:cs="Arial"/>
          <w:bCs/>
        </w:rPr>
        <w:t xml:space="preserve">A member of the National Guard or a member of a reserve component of a uniformed service who is receiving aviation incentive pay under section 334(a) of this title and is entitled to compensation under section 206 of this title is entitled to such compensation for </w:t>
      </w:r>
      <w:proofErr w:type="gramStart"/>
      <w:r w:rsidRPr="00992245">
        <w:rPr>
          <w:rFonts w:ascii="Arial" w:hAnsi="Arial" w:cs="Arial"/>
          <w:bCs/>
        </w:rPr>
        <w:t>a number of</w:t>
      </w:r>
      <w:proofErr w:type="gramEnd"/>
      <w:r w:rsidRPr="00992245">
        <w:rPr>
          <w:rFonts w:ascii="Arial" w:hAnsi="Arial" w:cs="Arial"/>
          <w:bCs/>
        </w:rPr>
        <w:t xml:space="preserve"> periods of inactive duty training each month sufficient for the member to obtain or maintain an aeronautical rating or designation. (Sec. 601)</w:t>
      </w:r>
      <w:r w:rsidR="0063135F">
        <w:rPr>
          <w:rFonts w:ascii="Arial" w:hAnsi="Arial" w:cs="Arial"/>
          <w:bCs/>
        </w:rPr>
        <w:t>.</w:t>
      </w:r>
    </w:p>
    <w:p w14:paraId="37C0618D" w14:textId="77777777" w:rsidR="00303337" w:rsidRPr="00CB4C36" w:rsidRDefault="00303337" w:rsidP="00CB4C36">
      <w:pPr>
        <w:rPr>
          <w:rFonts w:ascii="Arial" w:hAnsi="Arial" w:cs="Arial"/>
          <w:b/>
          <w:color w:val="54256B"/>
          <w:sz w:val="24"/>
          <w:szCs w:val="28"/>
          <w:highlight w:val="yellow"/>
        </w:rPr>
      </w:pPr>
    </w:p>
    <w:p w14:paraId="6A21BB85" w14:textId="56AC5D3F" w:rsidR="00046A37" w:rsidRPr="00992245" w:rsidRDefault="00303337" w:rsidP="00992245">
      <w:pPr>
        <w:pStyle w:val="ListParagraph"/>
        <w:numPr>
          <w:ilvl w:val="1"/>
          <w:numId w:val="39"/>
        </w:numPr>
        <w:rPr>
          <w:rFonts w:ascii="Arial" w:hAnsi="Arial" w:cs="Arial"/>
          <w:bCs/>
        </w:rPr>
      </w:pPr>
      <w:r w:rsidRPr="00992245">
        <w:rPr>
          <w:rFonts w:ascii="Arial" w:hAnsi="Arial" w:cs="Arial"/>
          <w:bCs/>
        </w:rPr>
        <w:t>Requires the Secretary of Defense to annually submit a report that includes organized tabulations of programs, projects, and activities for which the total obligational authority was reduced or eliminated in the current budget year proposal compared to the prior-year projection. (</w:t>
      </w:r>
      <w:r w:rsidRPr="00992245">
        <w:rPr>
          <w:rFonts w:ascii="Arial" w:hAnsi="Arial" w:cs="Arial"/>
          <w:bCs/>
          <w:i/>
          <w:iCs/>
        </w:rPr>
        <w:t>Sec. 1002</w:t>
      </w:r>
      <w:r w:rsidRPr="00992245">
        <w:rPr>
          <w:rFonts w:ascii="Arial" w:hAnsi="Arial" w:cs="Arial"/>
          <w:bCs/>
        </w:rPr>
        <w:t xml:space="preserve">) In addition, it amends 22a </w:t>
      </w:r>
      <w:proofErr w:type="gramStart"/>
      <w:r w:rsidRPr="00992245">
        <w:rPr>
          <w:rFonts w:ascii="Arial" w:hAnsi="Arial" w:cs="Arial"/>
          <w:bCs/>
        </w:rPr>
        <w:t>( C</w:t>
      </w:r>
      <w:proofErr w:type="gramEnd"/>
      <w:r w:rsidRPr="00992245">
        <w:rPr>
          <w:rFonts w:ascii="Arial" w:hAnsi="Arial" w:cs="Arial"/>
          <w:bCs/>
        </w:rPr>
        <w:t xml:space="preserve">)(1) of </w:t>
      </w:r>
      <w:r w:rsidR="00046A37" w:rsidRPr="00992245">
        <w:rPr>
          <w:rFonts w:ascii="Arial" w:hAnsi="Arial" w:cs="Arial"/>
          <w:bCs/>
        </w:rPr>
        <w:t>Title</w:t>
      </w:r>
      <w:r w:rsidRPr="00992245">
        <w:rPr>
          <w:rFonts w:ascii="Arial" w:hAnsi="Arial" w:cs="Arial"/>
          <w:bCs/>
        </w:rPr>
        <w:t xml:space="preserve"> 10, United States Code, </w:t>
      </w:r>
      <w:r w:rsidR="00046A37" w:rsidRPr="00992245">
        <w:rPr>
          <w:rFonts w:ascii="Arial" w:hAnsi="Arial" w:cs="Arial"/>
          <w:bCs/>
        </w:rPr>
        <w:t>by adding additional reporting requirements related to unfunded priorities of armed forces and combatant commands. (Sec.1003).</w:t>
      </w:r>
    </w:p>
    <w:p w14:paraId="475A6406" w14:textId="77777777" w:rsidR="00046A37" w:rsidRDefault="00046A37" w:rsidP="00046A37">
      <w:pPr>
        <w:pStyle w:val="ListParagraph"/>
        <w:rPr>
          <w:rFonts w:ascii="Arial" w:hAnsi="Arial" w:cs="Arial"/>
          <w:bCs/>
        </w:rPr>
      </w:pPr>
    </w:p>
    <w:p w14:paraId="5C55B57A" w14:textId="380E55A3" w:rsidR="00046A37" w:rsidRPr="00992245" w:rsidRDefault="00046A37" w:rsidP="00992245">
      <w:pPr>
        <w:pStyle w:val="ListParagraph"/>
        <w:numPr>
          <w:ilvl w:val="1"/>
          <w:numId w:val="39"/>
        </w:numPr>
        <w:rPr>
          <w:rFonts w:ascii="Arial" w:hAnsi="Arial" w:cs="Arial"/>
          <w:bCs/>
        </w:rPr>
      </w:pPr>
      <w:r w:rsidRPr="00992245">
        <w:rPr>
          <w:rFonts w:ascii="Arial" w:hAnsi="Arial" w:cs="Arial"/>
          <w:bCs/>
        </w:rPr>
        <w:t>Requires each component of the Department of Defense to be subject to an independent audit. (Sec.1004)</w:t>
      </w:r>
      <w:r w:rsidR="0063135F">
        <w:rPr>
          <w:rFonts w:ascii="Arial" w:hAnsi="Arial" w:cs="Arial"/>
          <w:bCs/>
        </w:rPr>
        <w:t>.</w:t>
      </w:r>
    </w:p>
    <w:p w14:paraId="2B8E9143" w14:textId="77777777" w:rsidR="00A74F38" w:rsidRPr="00A74F38" w:rsidRDefault="00A74F38" w:rsidP="00A74F38">
      <w:pPr>
        <w:pStyle w:val="ListParagraph"/>
        <w:rPr>
          <w:rFonts w:ascii="Arial" w:hAnsi="Arial" w:cs="Arial"/>
          <w:bCs/>
        </w:rPr>
      </w:pPr>
    </w:p>
    <w:p w14:paraId="4917A7D6" w14:textId="3D3DD110" w:rsidR="00A74F38" w:rsidRPr="00992245" w:rsidRDefault="00A74F38" w:rsidP="00992245">
      <w:pPr>
        <w:pStyle w:val="ListParagraph"/>
        <w:numPr>
          <w:ilvl w:val="1"/>
          <w:numId w:val="39"/>
        </w:numPr>
        <w:rPr>
          <w:rFonts w:ascii="Arial" w:hAnsi="Arial" w:cs="Arial"/>
          <w:bCs/>
        </w:rPr>
      </w:pPr>
      <w:r w:rsidRPr="00992245">
        <w:rPr>
          <w:rFonts w:ascii="Arial" w:hAnsi="Arial" w:cs="Arial"/>
          <w:bCs/>
        </w:rPr>
        <w:t xml:space="preserve">Conferees direct to Secretary of Defense to submit a report, no later than May 1, 2024, to the committees of Armed Services with an assessment of </w:t>
      </w:r>
      <w:r w:rsidR="005A1D24" w:rsidRPr="00992245">
        <w:rPr>
          <w:rFonts w:ascii="Arial" w:hAnsi="Arial" w:cs="Arial"/>
          <w:bCs/>
        </w:rPr>
        <w:t xml:space="preserve">the </w:t>
      </w:r>
      <w:r w:rsidRPr="00992245">
        <w:rPr>
          <w:rFonts w:ascii="Arial" w:hAnsi="Arial" w:cs="Arial"/>
          <w:bCs/>
        </w:rPr>
        <w:t xml:space="preserve">impact of efforts to enhance cooperation on targeting, disrupting, and degrading fentanyl trafficking and a description of limiting on such efforts. </w:t>
      </w:r>
      <w:r w:rsidR="005A1D24" w:rsidRPr="00992245">
        <w:rPr>
          <w:rFonts w:ascii="Arial" w:hAnsi="Arial" w:cs="Arial"/>
          <w:bCs/>
        </w:rPr>
        <w:t>(Sec.1013)</w:t>
      </w:r>
      <w:r w:rsidR="0063135F">
        <w:rPr>
          <w:rFonts w:ascii="Arial" w:hAnsi="Arial" w:cs="Arial"/>
          <w:bCs/>
        </w:rPr>
        <w:t>.</w:t>
      </w:r>
    </w:p>
    <w:p w14:paraId="7197B8AB" w14:textId="77777777" w:rsidR="005A1D24" w:rsidRPr="005A1D24" w:rsidRDefault="005A1D24" w:rsidP="005A1D24">
      <w:pPr>
        <w:pStyle w:val="ListParagraph"/>
        <w:rPr>
          <w:rFonts w:ascii="Arial" w:hAnsi="Arial" w:cs="Arial"/>
          <w:bCs/>
        </w:rPr>
      </w:pPr>
    </w:p>
    <w:p w14:paraId="28DE4206" w14:textId="078A198C" w:rsidR="005A1D24" w:rsidRPr="00992245" w:rsidRDefault="00A51F8A" w:rsidP="00992245">
      <w:pPr>
        <w:pStyle w:val="ListParagraph"/>
        <w:numPr>
          <w:ilvl w:val="1"/>
          <w:numId w:val="39"/>
        </w:numPr>
        <w:rPr>
          <w:rFonts w:ascii="Arial" w:hAnsi="Arial" w:cs="Arial"/>
          <w:bCs/>
        </w:rPr>
      </w:pPr>
      <w:r w:rsidRPr="00992245">
        <w:rPr>
          <w:rFonts w:ascii="Arial" w:hAnsi="Arial" w:cs="Arial"/>
          <w:bCs/>
        </w:rPr>
        <w:t>Requires the Secretary of Defense to update guidance for the use of unmanned aircraft systems by the National Guard and provide a briefing to the Committee on Armed Services of the Senate and House of Representatives. (Sec. 1086)</w:t>
      </w:r>
      <w:r w:rsidR="0063135F">
        <w:rPr>
          <w:rFonts w:ascii="Arial" w:hAnsi="Arial" w:cs="Arial"/>
          <w:bCs/>
        </w:rPr>
        <w:t>.</w:t>
      </w:r>
    </w:p>
    <w:p w14:paraId="12501139" w14:textId="77777777" w:rsidR="00983EBC" w:rsidRPr="00983EBC" w:rsidRDefault="00983EBC" w:rsidP="00983EBC">
      <w:pPr>
        <w:pStyle w:val="ListParagraph"/>
        <w:rPr>
          <w:rFonts w:ascii="Arial" w:hAnsi="Arial" w:cs="Arial"/>
          <w:bCs/>
        </w:rPr>
      </w:pPr>
    </w:p>
    <w:p w14:paraId="21E2BBEC" w14:textId="76D90380" w:rsidR="00983EBC" w:rsidRPr="00992245" w:rsidRDefault="00983EBC" w:rsidP="00992245">
      <w:pPr>
        <w:pStyle w:val="ListParagraph"/>
        <w:numPr>
          <w:ilvl w:val="1"/>
          <w:numId w:val="39"/>
        </w:numPr>
        <w:rPr>
          <w:rFonts w:ascii="Arial" w:hAnsi="Arial" w:cs="Arial"/>
          <w:bCs/>
        </w:rPr>
      </w:pPr>
      <w:r w:rsidRPr="00992245">
        <w:rPr>
          <w:rFonts w:ascii="Arial" w:hAnsi="Arial" w:cs="Arial"/>
          <w:bCs/>
        </w:rPr>
        <w:t xml:space="preserve">The conference directs the Secretary of Defense to provide a briefing to the Committees on Armed Services of the Senate and the House of Representatives on the advisability </w:t>
      </w:r>
      <w:r w:rsidRPr="00992245">
        <w:rPr>
          <w:rFonts w:ascii="Arial" w:hAnsi="Arial" w:cs="Arial"/>
          <w:bCs/>
        </w:rPr>
        <w:lastRenderedPageBreak/>
        <w:t xml:space="preserve">and feasibility of coordinating with private entities and state government to provide resources and personnel under the State Partnership Program. </w:t>
      </w:r>
    </w:p>
    <w:p w14:paraId="20DE644A" w14:textId="77777777" w:rsidR="009A1744" w:rsidRPr="009A1744" w:rsidRDefault="009A1744" w:rsidP="009A1744">
      <w:pPr>
        <w:pStyle w:val="ListParagraph"/>
        <w:rPr>
          <w:rFonts w:ascii="Arial" w:hAnsi="Arial" w:cs="Arial"/>
          <w:highlight w:val="yellow"/>
        </w:rPr>
      </w:pPr>
    </w:p>
    <w:p w14:paraId="24272558" w14:textId="32B9D976" w:rsidR="00DE763C" w:rsidRPr="00992245" w:rsidRDefault="00325A42" w:rsidP="00992245">
      <w:pPr>
        <w:pStyle w:val="ListParagraph"/>
        <w:numPr>
          <w:ilvl w:val="1"/>
          <w:numId w:val="39"/>
        </w:numPr>
        <w:rPr>
          <w:rFonts w:ascii="Arial" w:hAnsi="Arial" w:cs="Arial"/>
          <w:b/>
        </w:rPr>
      </w:pPr>
      <w:bookmarkStart w:id="6" w:name="_Hlk152862751"/>
      <w:r>
        <w:rPr>
          <w:rFonts w:ascii="Arial" w:hAnsi="Arial" w:cs="Arial"/>
        </w:rPr>
        <w:t>D</w:t>
      </w:r>
      <w:r w:rsidR="004273B9">
        <w:rPr>
          <w:rFonts w:ascii="Arial" w:hAnsi="Arial" w:cs="Arial"/>
        </w:rPr>
        <w:t>id not adopt</w:t>
      </w:r>
      <w:r w:rsidR="009A1744" w:rsidRPr="00992245">
        <w:rPr>
          <w:rFonts w:ascii="Arial" w:hAnsi="Arial" w:cs="Arial"/>
        </w:rPr>
        <w:t xml:space="preserve"> </w:t>
      </w:r>
      <w:r>
        <w:rPr>
          <w:rFonts w:ascii="Arial" w:hAnsi="Arial" w:cs="Arial"/>
        </w:rPr>
        <w:t>the</w:t>
      </w:r>
      <w:r w:rsidR="009A1744" w:rsidRPr="00992245">
        <w:rPr>
          <w:rFonts w:ascii="Arial" w:hAnsi="Arial" w:cs="Arial"/>
        </w:rPr>
        <w:t xml:space="preserve"> provision that would amend section 152 of title 10, United States Code, to make the Chief of the National Guard Bureau eligible for appointment as Chairman of the Joint Chiefs of Staff. </w:t>
      </w:r>
    </w:p>
    <w:p w14:paraId="4B126C09" w14:textId="77777777" w:rsidR="0005566F" w:rsidRPr="0005566F" w:rsidRDefault="0005566F" w:rsidP="0005566F">
      <w:pPr>
        <w:pStyle w:val="ListParagraph"/>
        <w:rPr>
          <w:rFonts w:ascii="Arial" w:hAnsi="Arial" w:cs="Arial"/>
          <w:b/>
          <w:highlight w:val="yellow"/>
        </w:rPr>
      </w:pPr>
    </w:p>
    <w:p w14:paraId="6E8A4F55" w14:textId="40C4860F" w:rsidR="0005566F" w:rsidRDefault="0005566F" w:rsidP="00992245">
      <w:pPr>
        <w:pStyle w:val="ListParagraph"/>
        <w:numPr>
          <w:ilvl w:val="1"/>
          <w:numId w:val="39"/>
        </w:numPr>
        <w:rPr>
          <w:rFonts w:ascii="Arial" w:hAnsi="Arial" w:cs="Arial"/>
          <w:bCs/>
        </w:rPr>
      </w:pPr>
      <w:r w:rsidRPr="00992245">
        <w:rPr>
          <w:rFonts w:ascii="Arial" w:hAnsi="Arial" w:cs="Arial"/>
          <w:bCs/>
        </w:rPr>
        <w:t xml:space="preserve">The conference did not adopt the TRICARE dental plan for the Selected Reserve. </w:t>
      </w:r>
    </w:p>
    <w:p w14:paraId="61D973E0" w14:textId="77777777" w:rsidR="00337396" w:rsidRPr="00337396" w:rsidRDefault="00337396" w:rsidP="00337396">
      <w:pPr>
        <w:pStyle w:val="ListParagraph"/>
        <w:rPr>
          <w:rFonts w:ascii="Arial" w:hAnsi="Arial" w:cs="Arial"/>
          <w:bCs/>
        </w:rPr>
      </w:pPr>
    </w:p>
    <w:p w14:paraId="7149EB0A" w14:textId="77777777" w:rsidR="00337396" w:rsidRDefault="00337396" w:rsidP="00337396">
      <w:pPr>
        <w:rPr>
          <w:rFonts w:ascii="Arial" w:hAnsi="Arial" w:cs="Arial"/>
          <w:bCs/>
        </w:rPr>
      </w:pPr>
    </w:p>
    <w:p w14:paraId="1A638426" w14:textId="77777777" w:rsidR="00337396" w:rsidRDefault="00337396" w:rsidP="00337396">
      <w:pPr>
        <w:rPr>
          <w:rFonts w:ascii="Arial" w:hAnsi="Arial" w:cs="Arial"/>
          <w:bCs/>
        </w:rPr>
      </w:pPr>
    </w:p>
    <w:p w14:paraId="517D696E" w14:textId="77777777" w:rsidR="00337396" w:rsidRDefault="00337396" w:rsidP="00337396">
      <w:pPr>
        <w:rPr>
          <w:rFonts w:ascii="Arial" w:hAnsi="Arial" w:cs="Arial"/>
          <w:bCs/>
        </w:rPr>
      </w:pPr>
    </w:p>
    <w:p w14:paraId="42B2EF23" w14:textId="77777777" w:rsidR="00337396" w:rsidRDefault="00337396" w:rsidP="00337396">
      <w:pPr>
        <w:rPr>
          <w:rFonts w:ascii="Arial" w:hAnsi="Arial" w:cs="Arial"/>
          <w:bCs/>
        </w:rPr>
      </w:pPr>
    </w:p>
    <w:p w14:paraId="75411DF2" w14:textId="77777777" w:rsidR="00337396" w:rsidRDefault="00337396" w:rsidP="00337396">
      <w:pPr>
        <w:rPr>
          <w:rFonts w:ascii="Arial" w:hAnsi="Arial" w:cs="Arial"/>
          <w:bCs/>
        </w:rPr>
      </w:pPr>
    </w:p>
    <w:p w14:paraId="2C29BD84" w14:textId="77777777" w:rsidR="00337396" w:rsidRDefault="00337396" w:rsidP="00337396">
      <w:pPr>
        <w:rPr>
          <w:rFonts w:ascii="Arial" w:hAnsi="Arial" w:cs="Arial"/>
          <w:bCs/>
        </w:rPr>
      </w:pPr>
    </w:p>
    <w:p w14:paraId="043F64AC" w14:textId="77777777" w:rsidR="00337396" w:rsidRDefault="00337396" w:rsidP="00337396">
      <w:pPr>
        <w:rPr>
          <w:rFonts w:ascii="Arial" w:hAnsi="Arial" w:cs="Arial"/>
          <w:bCs/>
        </w:rPr>
      </w:pPr>
    </w:p>
    <w:p w14:paraId="25446EC8" w14:textId="77777777" w:rsidR="00337396" w:rsidRDefault="00337396" w:rsidP="00337396">
      <w:pPr>
        <w:rPr>
          <w:rFonts w:ascii="Arial" w:hAnsi="Arial" w:cs="Arial"/>
          <w:bCs/>
        </w:rPr>
      </w:pPr>
    </w:p>
    <w:p w14:paraId="616747BE" w14:textId="77777777" w:rsidR="00337396" w:rsidRDefault="00337396" w:rsidP="00337396">
      <w:pPr>
        <w:rPr>
          <w:rFonts w:ascii="Arial" w:hAnsi="Arial" w:cs="Arial"/>
          <w:bCs/>
        </w:rPr>
      </w:pPr>
    </w:p>
    <w:p w14:paraId="549F2A32" w14:textId="77777777" w:rsidR="00337396" w:rsidRDefault="00337396" w:rsidP="00337396">
      <w:pPr>
        <w:rPr>
          <w:rFonts w:ascii="Arial" w:hAnsi="Arial" w:cs="Arial"/>
          <w:bCs/>
        </w:rPr>
      </w:pPr>
    </w:p>
    <w:p w14:paraId="4A5C4888" w14:textId="77777777" w:rsidR="00337396" w:rsidRDefault="00337396" w:rsidP="00337396">
      <w:pPr>
        <w:rPr>
          <w:rFonts w:ascii="Arial" w:hAnsi="Arial" w:cs="Arial"/>
          <w:bCs/>
        </w:rPr>
      </w:pPr>
    </w:p>
    <w:p w14:paraId="77259DED" w14:textId="77777777" w:rsidR="00337396" w:rsidRDefault="00337396" w:rsidP="00337396">
      <w:pPr>
        <w:rPr>
          <w:rFonts w:ascii="Arial" w:hAnsi="Arial" w:cs="Arial"/>
          <w:bCs/>
        </w:rPr>
      </w:pPr>
    </w:p>
    <w:p w14:paraId="46684EB6" w14:textId="77777777" w:rsidR="00337396" w:rsidRDefault="00337396" w:rsidP="00337396">
      <w:pPr>
        <w:rPr>
          <w:rFonts w:ascii="Arial" w:hAnsi="Arial" w:cs="Arial"/>
          <w:bCs/>
        </w:rPr>
      </w:pPr>
    </w:p>
    <w:p w14:paraId="58300A65" w14:textId="77777777" w:rsidR="00337396" w:rsidRDefault="00337396" w:rsidP="00337396">
      <w:pPr>
        <w:rPr>
          <w:rFonts w:ascii="Arial" w:hAnsi="Arial" w:cs="Arial"/>
          <w:bCs/>
        </w:rPr>
      </w:pPr>
    </w:p>
    <w:p w14:paraId="70D1999A" w14:textId="77777777" w:rsidR="00337396" w:rsidRDefault="00337396" w:rsidP="00337396">
      <w:pPr>
        <w:rPr>
          <w:rFonts w:ascii="Arial" w:hAnsi="Arial" w:cs="Arial"/>
          <w:bCs/>
        </w:rPr>
      </w:pPr>
    </w:p>
    <w:p w14:paraId="36CDA6E1" w14:textId="77777777" w:rsidR="00337396" w:rsidRDefault="00337396" w:rsidP="00337396">
      <w:pPr>
        <w:rPr>
          <w:rFonts w:ascii="Arial" w:hAnsi="Arial" w:cs="Arial"/>
          <w:bCs/>
        </w:rPr>
      </w:pPr>
    </w:p>
    <w:p w14:paraId="68CF8ACE" w14:textId="77777777" w:rsidR="00337396" w:rsidRDefault="00337396" w:rsidP="00337396">
      <w:pPr>
        <w:rPr>
          <w:rFonts w:ascii="Arial" w:hAnsi="Arial" w:cs="Arial"/>
          <w:bCs/>
        </w:rPr>
      </w:pPr>
    </w:p>
    <w:p w14:paraId="4AC7ED3C" w14:textId="77777777" w:rsidR="00337396" w:rsidRDefault="00337396" w:rsidP="00337396">
      <w:pPr>
        <w:rPr>
          <w:rFonts w:ascii="Arial" w:hAnsi="Arial" w:cs="Arial"/>
          <w:bCs/>
        </w:rPr>
      </w:pPr>
    </w:p>
    <w:p w14:paraId="45300783" w14:textId="77777777" w:rsidR="00337396" w:rsidRDefault="00337396" w:rsidP="00337396">
      <w:pPr>
        <w:rPr>
          <w:rFonts w:ascii="Arial" w:hAnsi="Arial" w:cs="Arial"/>
          <w:bCs/>
        </w:rPr>
      </w:pPr>
    </w:p>
    <w:p w14:paraId="21620C96" w14:textId="77777777" w:rsidR="00337396" w:rsidRDefault="00337396" w:rsidP="00337396">
      <w:pPr>
        <w:rPr>
          <w:rFonts w:ascii="Arial" w:hAnsi="Arial" w:cs="Arial"/>
          <w:bCs/>
        </w:rPr>
      </w:pPr>
    </w:p>
    <w:p w14:paraId="21DB4E37" w14:textId="77777777" w:rsidR="00337396" w:rsidRDefault="00337396" w:rsidP="00337396">
      <w:pPr>
        <w:rPr>
          <w:rFonts w:ascii="Arial" w:hAnsi="Arial" w:cs="Arial"/>
          <w:bCs/>
        </w:rPr>
      </w:pPr>
    </w:p>
    <w:p w14:paraId="567DCABE" w14:textId="77777777" w:rsidR="00337396" w:rsidRDefault="00337396" w:rsidP="00337396">
      <w:pPr>
        <w:rPr>
          <w:rFonts w:ascii="Arial" w:hAnsi="Arial" w:cs="Arial"/>
          <w:bCs/>
        </w:rPr>
      </w:pPr>
    </w:p>
    <w:p w14:paraId="75511436" w14:textId="77777777" w:rsidR="00337396" w:rsidRDefault="00337396" w:rsidP="00337396">
      <w:pPr>
        <w:rPr>
          <w:rFonts w:ascii="Arial" w:hAnsi="Arial" w:cs="Arial"/>
          <w:bCs/>
        </w:rPr>
      </w:pPr>
    </w:p>
    <w:p w14:paraId="346FF1F4" w14:textId="77777777" w:rsidR="00337396" w:rsidRDefault="00337396" w:rsidP="00337396">
      <w:pPr>
        <w:rPr>
          <w:rFonts w:ascii="Arial" w:hAnsi="Arial" w:cs="Arial"/>
          <w:bCs/>
        </w:rPr>
      </w:pPr>
    </w:p>
    <w:p w14:paraId="77A81C83" w14:textId="77777777" w:rsidR="00337396" w:rsidRDefault="00337396" w:rsidP="00337396">
      <w:pPr>
        <w:rPr>
          <w:rFonts w:ascii="Arial" w:hAnsi="Arial" w:cs="Arial"/>
          <w:bCs/>
        </w:rPr>
      </w:pPr>
    </w:p>
    <w:p w14:paraId="0190AF0A" w14:textId="77777777" w:rsidR="00337396" w:rsidRDefault="00337396" w:rsidP="00337396">
      <w:pPr>
        <w:rPr>
          <w:rFonts w:ascii="Arial" w:hAnsi="Arial" w:cs="Arial"/>
          <w:bCs/>
        </w:rPr>
      </w:pPr>
    </w:p>
    <w:p w14:paraId="1067406F" w14:textId="77777777" w:rsidR="00337396" w:rsidRDefault="00337396" w:rsidP="00337396">
      <w:pPr>
        <w:rPr>
          <w:rFonts w:ascii="Arial" w:hAnsi="Arial" w:cs="Arial"/>
          <w:bCs/>
        </w:rPr>
      </w:pPr>
    </w:p>
    <w:p w14:paraId="74EF496C" w14:textId="77777777" w:rsidR="00337396" w:rsidRDefault="00337396" w:rsidP="00337396">
      <w:pPr>
        <w:rPr>
          <w:rFonts w:ascii="Arial" w:hAnsi="Arial" w:cs="Arial"/>
          <w:bCs/>
        </w:rPr>
      </w:pPr>
    </w:p>
    <w:p w14:paraId="364F42DA" w14:textId="77777777" w:rsidR="00337396" w:rsidRDefault="00337396" w:rsidP="00337396">
      <w:pPr>
        <w:rPr>
          <w:rFonts w:ascii="Arial" w:hAnsi="Arial" w:cs="Arial"/>
          <w:bCs/>
        </w:rPr>
      </w:pPr>
    </w:p>
    <w:p w14:paraId="1FA10C98" w14:textId="77777777" w:rsidR="00337396" w:rsidRDefault="00337396" w:rsidP="00337396">
      <w:pPr>
        <w:rPr>
          <w:rFonts w:ascii="Arial" w:hAnsi="Arial" w:cs="Arial"/>
          <w:bCs/>
        </w:rPr>
      </w:pPr>
    </w:p>
    <w:p w14:paraId="6D077EB8" w14:textId="77777777" w:rsidR="00337396" w:rsidRDefault="00337396" w:rsidP="00337396">
      <w:pPr>
        <w:rPr>
          <w:rFonts w:ascii="Arial" w:hAnsi="Arial" w:cs="Arial"/>
          <w:bCs/>
        </w:rPr>
      </w:pPr>
    </w:p>
    <w:p w14:paraId="2002470D" w14:textId="77777777" w:rsidR="00337396" w:rsidRDefault="00337396" w:rsidP="00337396">
      <w:pPr>
        <w:rPr>
          <w:rFonts w:ascii="Arial" w:hAnsi="Arial" w:cs="Arial"/>
          <w:bCs/>
        </w:rPr>
      </w:pPr>
    </w:p>
    <w:p w14:paraId="01FC5A66" w14:textId="77777777" w:rsidR="00337396" w:rsidRDefault="00337396" w:rsidP="00337396">
      <w:pPr>
        <w:rPr>
          <w:rFonts w:ascii="Arial" w:hAnsi="Arial" w:cs="Arial"/>
          <w:bCs/>
        </w:rPr>
      </w:pPr>
    </w:p>
    <w:p w14:paraId="516AFF8E" w14:textId="77777777" w:rsidR="00337396" w:rsidRDefault="00337396" w:rsidP="00337396">
      <w:pPr>
        <w:rPr>
          <w:rFonts w:ascii="Arial" w:hAnsi="Arial" w:cs="Arial"/>
          <w:bCs/>
        </w:rPr>
      </w:pPr>
    </w:p>
    <w:p w14:paraId="25A14E98" w14:textId="77777777" w:rsidR="00337396" w:rsidRDefault="00337396" w:rsidP="00337396">
      <w:pPr>
        <w:rPr>
          <w:rFonts w:ascii="Arial" w:hAnsi="Arial" w:cs="Arial"/>
          <w:bCs/>
        </w:rPr>
      </w:pPr>
    </w:p>
    <w:p w14:paraId="444B1A8F" w14:textId="77777777" w:rsidR="00337396" w:rsidRDefault="00337396" w:rsidP="00337396">
      <w:pPr>
        <w:rPr>
          <w:rFonts w:ascii="Arial" w:hAnsi="Arial" w:cs="Arial"/>
          <w:bCs/>
        </w:rPr>
      </w:pPr>
    </w:p>
    <w:p w14:paraId="4C3AEFA6" w14:textId="77777777" w:rsidR="00337396" w:rsidRDefault="00337396" w:rsidP="00337396">
      <w:pPr>
        <w:rPr>
          <w:rFonts w:ascii="Arial" w:hAnsi="Arial" w:cs="Arial"/>
          <w:bCs/>
        </w:rPr>
      </w:pPr>
    </w:p>
    <w:p w14:paraId="7CFA0C6C" w14:textId="77777777" w:rsidR="00337396" w:rsidRDefault="00337396" w:rsidP="00337396">
      <w:pPr>
        <w:rPr>
          <w:rFonts w:ascii="Arial" w:hAnsi="Arial" w:cs="Arial"/>
          <w:bCs/>
        </w:rPr>
      </w:pPr>
    </w:p>
    <w:p w14:paraId="34FACAE1" w14:textId="77777777" w:rsidR="00337396" w:rsidRDefault="00337396" w:rsidP="00337396">
      <w:pPr>
        <w:rPr>
          <w:rFonts w:ascii="Arial" w:hAnsi="Arial" w:cs="Arial"/>
          <w:bCs/>
        </w:rPr>
      </w:pPr>
    </w:p>
    <w:p w14:paraId="28F91043" w14:textId="77777777" w:rsidR="00337396" w:rsidRDefault="00337396" w:rsidP="00337396">
      <w:pPr>
        <w:rPr>
          <w:rFonts w:ascii="Arial" w:hAnsi="Arial" w:cs="Arial"/>
          <w:bCs/>
        </w:rPr>
      </w:pPr>
    </w:p>
    <w:bookmarkEnd w:id="6"/>
    <w:p w14:paraId="68A90785" w14:textId="77777777" w:rsidR="004B2D2A" w:rsidRPr="00337396" w:rsidRDefault="004B2D2A" w:rsidP="00337396">
      <w:pPr>
        <w:rPr>
          <w:rFonts w:ascii="Arial" w:hAnsi="Arial" w:cs="Arial"/>
          <w:b/>
          <w:highlight w:val="yellow"/>
        </w:rPr>
      </w:pPr>
    </w:p>
    <w:p w14:paraId="6BF441E7" w14:textId="77777777" w:rsidR="00A76257" w:rsidRPr="009A1744" w:rsidRDefault="00A76257" w:rsidP="00DE763C">
      <w:pPr>
        <w:pStyle w:val="ListParagraph"/>
        <w:rPr>
          <w:rFonts w:ascii="Arial" w:hAnsi="Arial" w:cs="Arial"/>
          <w:highlight w:val="yellow"/>
        </w:rPr>
      </w:pPr>
    </w:p>
    <w:p w14:paraId="6ED76C07" w14:textId="5B65CC43" w:rsidR="002A552E" w:rsidRPr="009A1744" w:rsidRDefault="00A24569" w:rsidP="00A24569">
      <w:pPr>
        <w:ind w:left="5760"/>
        <w:rPr>
          <w:rFonts w:ascii="Arial" w:hAnsi="Arial" w:cs="Arial"/>
          <w:b/>
          <w:color w:val="1A3866"/>
          <w:szCs w:val="24"/>
        </w:rPr>
      </w:pPr>
      <w:r w:rsidRPr="009A1744">
        <w:rPr>
          <w:rFonts w:ascii="Arial" w:hAnsi="Arial" w:cs="Arial"/>
          <w:b/>
          <w:color w:val="1A3866"/>
          <w:szCs w:val="24"/>
        </w:rPr>
        <w:t xml:space="preserve">          </w:t>
      </w:r>
      <w:r w:rsidR="00833993" w:rsidRPr="009A1744">
        <w:rPr>
          <w:rFonts w:ascii="Arial" w:hAnsi="Arial" w:cs="Arial"/>
          <w:b/>
          <w:color w:val="1A3866"/>
          <w:szCs w:val="24"/>
        </w:rPr>
        <w:t>Prepared by</w:t>
      </w:r>
      <w:r w:rsidR="00BB6DBF" w:rsidRPr="009A1744">
        <w:rPr>
          <w:rFonts w:ascii="Arial" w:hAnsi="Arial" w:cs="Arial"/>
          <w:b/>
          <w:color w:val="1A3866"/>
          <w:szCs w:val="24"/>
        </w:rPr>
        <w:t xml:space="preserve"> </w:t>
      </w:r>
      <w:r w:rsidR="005E2327" w:rsidRPr="009A1744">
        <w:rPr>
          <w:rFonts w:ascii="Arial" w:hAnsi="Arial" w:cs="Arial"/>
          <w:b/>
          <w:color w:val="1A3866"/>
          <w:szCs w:val="24"/>
        </w:rPr>
        <w:t>Aubrey Powers</w:t>
      </w:r>
    </w:p>
    <w:p w14:paraId="453445AC" w14:textId="3660E49E" w:rsidR="00DE5E7F" w:rsidRPr="002A552E" w:rsidRDefault="00C73F56" w:rsidP="002A552E">
      <w:pPr>
        <w:jc w:val="right"/>
        <w:rPr>
          <w:rFonts w:ascii="Arial" w:hAnsi="Arial" w:cs="Arial"/>
          <w:b/>
          <w:color w:val="1A3866"/>
          <w:szCs w:val="24"/>
        </w:rPr>
      </w:pPr>
      <w:r>
        <w:rPr>
          <w:rFonts w:ascii="Arial" w:hAnsi="Arial" w:cs="Arial"/>
          <w:b/>
          <w:color w:val="1A3866"/>
          <w:szCs w:val="24"/>
        </w:rPr>
        <w:t>14</w:t>
      </w:r>
      <w:r w:rsidR="004A5CDD" w:rsidRPr="009A1744">
        <w:rPr>
          <w:rFonts w:ascii="Arial" w:hAnsi="Arial" w:cs="Arial"/>
          <w:b/>
          <w:color w:val="1A3866"/>
          <w:szCs w:val="24"/>
        </w:rPr>
        <w:t xml:space="preserve"> </w:t>
      </w:r>
      <w:r w:rsidR="009A1744" w:rsidRPr="009A1744">
        <w:rPr>
          <w:rFonts w:ascii="Arial" w:hAnsi="Arial" w:cs="Arial"/>
          <w:b/>
          <w:color w:val="1A3866"/>
          <w:szCs w:val="24"/>
        </w:rPr>
        <w:t>December</w:t>
      </w:r>
      <w:r w:rsidR="004A5CDD" w:rsidRPr="009A1744">
        <w:rPr>
          <w:rFonts w:ascii="Arial" w:hAnsi="Arial" w:cs="Arial"/>
          <w:b/>
          <w:color w:val="1A3866"/>
          <w:szCs w:val="24"/>
        </w:rPr>
        <w:t xml:space="preserve"> 202</w:t>
      </w:r>
      <w:r w:rsidR="005E2327" w:rsidRPr="009A1744">
        <w:rPr>
          <w:rFonts w:ascii="Arial" w:hAnsi="Arial" w:cs="Arial"/>
          <w:b/>
          <w:color w:val="1A3866"/>
          <w:szCs w:val="24"/>
        </w:rPr>
        <w:t>3</w:t>
      </w:r>
    </w:p>
    <w:sectPr w:rsidR="00DE5E7F" w:rsidRPr="002A552E" w:rsidSect="00AB47F5">
      <w:headerReference w:type="even" r:id="rId9"/>
      <w:headerReference w:type="default" r:id="rId10"/>
      <w:footerReference w:type="even" r:id="rId11"/>
      <w:footerReference w:type="default" r:id="rId12"/>
      <w:headerReference w:type="first" r:id="rId13"/>
      <w:footerReference w:type="first" r:id="rId14"/>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97003" w14:textId="77777777" w:rsidR="001B28F4" w:rsidRDefault="001B28F4" w:rsidP="00DC2974">
      <w:r>
        <w:separator/>
      </w:r>
    </w:p>
  </w:endnote>
  <w:endnote w:type="continuationSeparator" w:id="0">
    <w:p w14:paraId="1252A17C" w14:textId="77777777" w:rsidR="001B28F4" w:rsidRDefault="001B28F4" w:rsidP="00DC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thela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EF10" w14:textId="77777777" w:rsidR="00EF75F0" w:rsidRDefault="00EF7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943041656"/>
      <w:docPartObj>
        <w:docPartGallery w:val="Page Numbers (Bottom of Page)"/>
        <w:docPartUnique/>
      </w:docPartObj>
    </w:sdtPr>
    <w:sdtEndPr>
      <w:rPr>
        <w:noProof/>
      </w:rPr>
    </w:sdtEndPr>
    <w:sdtContent>
      <w:p w14:paraId="3B8E8161" w14:textId="77777777" w:rsidR="00A41597" w:rsidRPr="00354B14" w:rsidRDefault="00A41597" w:rsidP="002C4C84">
        <w:pPr>
          <w:pStyle w:val="Footer"/>
          <w:jc w:val="center"/>
          <w:rPr>
            <w:rFonts w:ascii="Arial" w:hAnsi="Arial" w:cs="Arial"/>
          </w:rPr>
        </w:pPr>
        <w:r w:rsidRPr="00354B14">
          <w:rPr>
            <w:rFonts w:ascii="Arial" w:hAnsi="Arial" w:cs="Arial"/>
          </w:rPr>
          <w:fldChar w:fldCharType="begin"/>
        </w:r>
        <w:r w:rsidRPr="00354B14">
          <w:rPr>
            <w:rFonts w:ascii="Arial" w:hAnsi="Arial" w:cs="Arial"/>
          </w:rPr>
          <w:instrText xml:space="preserve"> PAGE   \* MERGEFORMAT </w:instrText>
        </w:r>
        <w:r w:rsidRPr="00354B14">
          <w:rPr>
            <w:rFonts w:ascii="Arial" w:hAnsi="Arial" w:cs="Arial"/>
          </w:rPr>
          <w:fldChar w:fldCharType="separate"/>
        </w:r>
        <w:r w:rsidR="00460AA5">
          <w:rPr>
            <w:rFonts w:ascii="Arial" w:hAnsi="Arial" w:cs="Arial"/>
            <w:noProof/>
          </w:rPr>
          <w:t>2</w:t>
        </w:r>
        <w:r w:rsidRPr="00354B14">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2410" w14:textId="77777777" w:rsidR="00EF75F0" w:rsidRDefault="00EF7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01E11" w14:textId="77777777" w:rsidR="001B28F4" w:rsidRDefault="001B28F4" w:rsidP="00DC2974">
      <w:r>
        <w:separator/>
      </w:r>
    </w:p>
  </w:footnote>
  <w:footnote w:type="continuationSeparator" w:id="0">
    <w:p w14:paraId="461FF79B" w14:textId="77777777" w:rsidR="001B28F4" w:rsidRDefault="001B28F4" w:rsidP="00DC2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B4394" w14:textId="0228BD43" w:rsidR="00EF75F0" w:rsidRDefault="00EF7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B06E" w14:textId="6FF152F5" w:rsidR="00A41597" w:rsidRDefault="00A41597" w:rsidP="00A06B22">
    <w:pPr>
      <w:pStyle w:val="Header"/>
      <w:tabs>
        <w:tab w:val="clear" w:pos="4680"/>
        <w:tab w:val="clear" w:pos="9360"/>
        <w:tab w:val="right" w:pos="7920"/>
      </w:tabs>
      <w:ind w:firstLine="144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E033" w14:textId="658032C6" w:rsidR="00EF75F0" w:rsidRDefault="00EF7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2DA5"/>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 w15:restartNumberingAfterBreak="0">
    <w:nsid w:val="071C7739"/>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 w15:restartNumberingAfterBreak="0">
    <w:nsid w:val="1191270F"/>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3" w15:restartNumberingAfterBreak="0">
    <w:nsid w:val="11E25054"/>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4" w15:restartNumberingAfterBreak="0">
    <w:nsid w:val="14036CC7"/>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5" w15:restartNumberingAfterBreak="0">
    <w:nsid w:val="18594176"/>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6" w15:restartNumberingAfterBreak="0">
    <w:nsid w:val="190E72D9"/>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7" w15:restartNumberingAfterBreak="0">
    <w:nsid w:val="1E236D6C"/>
    <w:multiLevelType w:val="hybridMultilevel"/>
    <w:tmpl w:val="1882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E6838"/>
    <w:multiLevelType w:val="hybridMultilevel"/>
    <w:tmpl w:val="EB6C17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517CB"/>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0" w15:restartNumberingAfterBreak="0">
    <w:nsid w:val="33870EA8"/>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1" w15:restartNumberingAfterBreak="0">
    <w:nsid w:val="3A0B016B"/>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2" w15:restartNumberingAfterBreak="0">
    <w:nsid w:val="3A115477"/>
    <w:multiLevelType w:val="hybridMultilevel"/>
    <w:tmpl w:val="CA1080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565D91"/>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4" w15:restartNumberingAfterBreak="0">
    <w:nsid w:val="3E267B3B"/>
    <w:multiLevelType w:val="hybridMultilevel"/>
    <w:tmpl w:val="A664B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C537AB"/>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6" w15:restartNumberingAfterBreak="0">
    <w:nsid w:val="422D77A4"/>
    <w:multiLevelType w:val="multilevel"/>
    <w:tmpl w:val="875EA824"/>
    <w:lvl w:ilvl="0">
      <w:start w:val="1"/>
      <w:numFmt w:val="bullet"/>
      <w:lvlText w:val=""/>
      <w:lvlJc w:val="left"/>
      <w:pPr>
        <w:ind w:left="360" w:hanging="360"/>
      </w:pPr>
      <w:rPr>
        <w:rFonts w:ascii="Symbol" w:hAnsi="Symbol" w:hint="default"/>
      </w:rPr>
    </w:lvl>
    <w:lvl w:ilvl="1">
      <w:start w:val="36"/>
      <w:numFmt w:val="bullet"/>
      <w:lvlText w:val=""/>
      <w:lvlJc w:val="left"/>
      <w:pPr>
        <w:ind w:left="720" w:hanging="360"/>
      </w:pPr>
      <w:rPr>
        <w:rFonts w:ascii="Symbol" w:hAnsi="Symbol" w:hint="default"/>
        <w:color w:val="auto"/>
      </w:rPr>
    </w:lvl>
    <w:lvl w:ilvl="2">
      <w:start w:val="4"/>
      <w:numFmt w:val="none"/>
      <w:lvlText w:val="(5)"/>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7" w15:restartNumberingAfterBreak="0">
    <w:nsid w:val="428D5AEB"/>
    <w:multiLevelType w:val="multilevel"/>
    <w:tmpl w:val="93D02DE0"/>
    <w:lvl w:ilvl="0">
      <w:start w:val="1"/>
      <w:numFmt w:val="bullet"/>
      <w:lvlText w:val=""/>
      <w:lvlJc w:val="left"/>
      <w:pPr>
        <w:ind w:left="360" w:hanging="360"/>
      </w:pPr>
      <w:rPr>
        <w:rFonts w:ascii="Symbol" w:hAnsi="Symbol" w:hint="default"/>
      </w:rPr>
    </w:lvl>
    <w:lvl w:ilvl="1">
      <w:start w:val="36"/>
      <w:numFmt w:val="bullet"/>
      <w:lvlText w:val=""/>
      <w:lvlJc w:val="left"/>
      <w:pPr>
        <w:ind w:left="720" w:hanging="360"/>
      </w:pPr>
      <w:rPr>
        <w:rFonts w:ascii="Symbol" w:hAnsi="Symbol" w:hint="default"/>
        <w:color w:val="auto"/>
      </w:rPr>
    </w:lvl>
    <w:lvl w:ilvl="2">
      <w:start w:val="4"/>
      <w:numFmt w:val="none"/>
      <w:lvlText w:val="(4)"/>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8" w15:restartNumberingAfterBreak="0">
    <w:nsid w:val="44F402E1"/>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19" w15:restartNumberingAfterBreak="0">
    <w:nsid w:val="4C005E8D"/>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0" w15:restartNumberingAfterBreak="0">
    <w:nsid w:val="4CF22990"/>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1" w15:restartNumberingAfterBreak="0">
    <w:nsid w:val="4DEC2623"/>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2" w15:restartNumberingAfterBreak="0">
    <w:nsid w:val="4EFF49EC"/>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3" w15:restartNumberingAfterBreak="0">
    <w:nsid w:val="50C904B7"/>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4" w15:restartNumberingAfterBreak="0">
    <w:nsid w:val="52357CE6"/>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5" w15:restartNumberingAfterBreak="0">
    <w:nsid w:val="584759C4"/>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6" w15:restartNumberingAfterBreak="0">
    <w:nsid w:val="58532953"/>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7" w15:restartNumberingAfterBreak="0">
    <w:nsid w:val="5ABD445F"/>
    <w:multiLevelType w:val="hybridMultilevel"/>
    <w:tmpl w:val="F23C7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50F32"/>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29" w15:restartNumberingAfterBreak="0">
    <w:nsid w:val="60A90910"/>
    <w:multiLevelType w:val="multilevel"/>
    <w:tmpl w:val="146CE686"/>
    <w:lvl w:ilvl="0">
      <w:start w:val="1"/>
      <w:numFmt w:val="bullet"/>
      <w:lvlText w:val=""/>
      <w:lvlJc w:val="left"/>
      <w:pPr>
        <w:ind w:left="360" w:hanging="360"/>
      </w:pPr>
      <w:rPr>
        <w:rFonts w:ascii="Symbol" w:hAnsi="Symbol" w:hint="default"/>
      </w:rPr>
    </w:lvl>
    <w:lvl w:ilvl="1">
      <w:start w:val="36"/>
      <w:numFmt w:val="bullet"/>
      <w:lvlText w:val=""/>
      <w:lvlJc w:val="left"/>
      <w:pPr>
        <w:ind w:left="720" w:hanging="360"/>
      </w:pPr>
      <w:rPr>
        <w:rFonts w:ascii="Symbol" w:hAnsi="Symbol" w:hint="default"/>
        <w:color w:val="auto"/>
      </w:rPr>
    </w:lvl>
    <w:lvl w:ilvl="2">
      <w:start w:val="2"/>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30" w15:restartNumberingAfterBreak="0">
    <w:nsid w:val="6AA1637B"/>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31" w15:restartNumberingAfterBreak="0">
    <w:nsid w:val="6C891B98"/>
    <w:multiLevelType w:val="hybridMultilevel"/>
    <w:tmpl w:val="AF98C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95371"/>
    <w:multiLevelType w:val="hybridMultilevel"/>
    <w:tmpl w:val="E024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20D06"/>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34" w15:restartNumberingAfterBreak="0">
    <w:nsid w:val="72D76FE6"/>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35" w15:restartNumberingAfterBreak="0">
    <w:nsid w:val="747A4AE4"/>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36" w15:restartNumberingAfterBreak="0">
    <w:nsid w:val="77764AE8"/>
    <w:multiLevelType w:val="hybridMultilevel"/>
    <w:tmpl w:val="ED0A2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C0F70"/>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38" w15:restartNumberingAfterBreak="0">
    <w:nsid w:val="786E61B7"/>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39" w15:restartNumberingAfterBreak="0">
    <w:nsid w:val="7A12460E"/>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40" w15:restartNumberingAfterBreak="0">
    <w:nsid w:val="7B693D6E"/>
    <w:multiLevelType w:val="multilevel"/>
    <w:tmpl w:val="052486A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abstractNum w:abstractNumId="41" w15:restartNumberingAfterBreak="0">
    <w:nsid w:val="7FD85D79"/>
    <w:multiLevelType w:val="multilevel"/>
    <w:tmpl w:val="8FC87B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cs="Courier New"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upperRoman"/>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bullet"/>
      <w:lvlText w:val="o"/>
      <w:lvlJc w:val="left"/>
      <w:pPr>
        <w:ind w:left="3240" w:hanging="360"/>
      </w:pPr>
      <w:rPr>
        <w:rFonts w:ascii="Courier New" w:hAnsi="Courier New" w:hint="default"/>
      </w:rPr>
    </w:lvl>
  </w:abstractNum>
  <w:num w:numId="1" w16cid:durableId="1226837131">
    <w:abstractNumId w:val="41"/>
  </w:num>
  <w:num w:numId="2" w16cid:durableId="598218454">
    <w:abstractNumId w:val="7"/>
  </w:num>
  <w:num w:numId="3" w16cid:durableId="999045780">
    <w:abstractNumId w:val="32"/>
  </w:num>
  <w:num w:numId="4" w16cid:durableId="304967193">
    <w:abstractNumId w:val="13"/>
  </w:num>
  <w:num w:numId="5" w16cid:durableId="420181516">
    <w:abstractNumId w:val="26"/>
  </w:num>
  <w:num w:numId="6" w16cid:durableId="1077746120">
    <w:abstractNumId w:val="28"/>
  </w:num>
  <w:num w:numId="7" w16cid:durableId="2036736018">
    <w:abstractNumId w:val="19"/>
  </w:num>
  <w:num w:numId="8" w16cid:durableId="959726113">
    <w:abstractNumId w:val="5"/>
  </w:num>
  <w:num w:numId="9" w16cid:durableId="2011132433">
    <w:abstractNumId w:val="6"/>
  </w:num>
  <w:num w:numId="10" w16cid:durableId="1298804249">
    <w:abstractNumId w:val="20"/>
  </w:num>
  <w:num w:numId="11" w16cid:durableId="861364343">
    <w:abstractNumId w:val="15"/>
  </w:num>
  <w:num w:numId="12" w16cid:durableId="1831753050">
    <w:abstractNumId w:val="0"/>
  </w:num>
  <w:num w:numId="13" w16cid:durableId="1213031459">
    <w:abstractNumId w:val="9"/>
  </w:num>
  <w:num w:numId="14" w16cid:durableId="1693260516">
    <w:abstractNumId w:val="30"/>
  </w:num>
  <w:num w:numId="15" w16cid:durableId="1485463051">
    <w:abstractNumId w:val="10"/>
  </w:num>
  <w:num w:numId="16" w16cid:durableId="462964136">
    <w:abstractNumId w:val="11"/>
  </w:num>
  <w:num w:numId="17" w16cid:durableId="838622492">
    <w:abstractNumId w:val="2"/>
  </w:num>
  <w:num w:numId="18" w16cid:durableId="2103406027">
    <w:abstractNumId w:val="35"/>
  </w:num>
  <w:num w:numId="19" w16cid:durableId="177961835">
    <w:abstractNumId w:val="1"/>
  </w:num>
  <w:num w:numId="20" w16cid:durableId="719937431">
    <w:abstractNumId w:val="18"/>
  </w:num>
  <w:num w:numId="21" w16cid:durableId="2034383363">
    <w:abstractNumId w:val="24"/>
  </w:num>
  <w:num w:numId="22" w16cid:durableId="1475216965">
    <w:abstractNumId w:val="23"/>
  </w:num>
  <w:num w:numId="23" w16cid:durableId="652564765">
    <w:abstractNumId w:val="39"/>
  </w:num>
  <w:num w:numId="24" w16cid:durableId="648680435">
    <w:abstractNumId w:val="22"/>
  </w:num>
  <w:num w:numId="25" w16cid:durableId="941884453">
    <w:abstractNumId w:val="4"/>
  </w:num>
  <w:num w:numId="26" w16cid:durableId="1347754822">
    <w:abstractNumId w:val="21"/>
  </w:num>
  <w:num w:numId="27" w16cid:durableId="985084372">
    <w:abstractNumId w:val="34"/>
  </w:num>
  <w:num w:numId="28" w16cid:durableId="736627944">
    <w:abstractNumId w:val="3"/>
  </w:num>
  <w:num w:numId="29" w16cid:durableId="1725132227">
    <w:abstractNumId w:val="25"/>
  </w:num>
  <w:num w:numId="30" w16cid:durableId="188957380">
    <w:abstractNumId w:val="40"/>
  </w:num>
  <w:num w:numId="31" w16cid:durableId="1418938064">
    <w:abstractNumId w:val="37"/>
  </w:num>
  <w:num w:numId="32" w16cid:durableId="1154565278">
    <w:abstractNumId w:val="33"/>
  </w:num>
  <w:num w:numId="33" w16cid:durableId="1510173445">
    <w:abstractNumId w:val="38"/>
  </w:num>
  <w:num w:numId="34" w16cid:durableId="830680714">
    <w:abstractNumId w:val="36"/>
  </w:num>
  <w:num w:numId="35" w16cid:durableId="1452243333">
    <w:abstractNumId w:val="27"/>
  </w:num>
  <w:num w:numId="36" w16cid:durableId="1772971527">
    <w:abstractNumId w:val="31"/>
  </w:num>
  <w:num w:numId="37" w16cid:durableId="1534659379">
    <w:abstractNumId w:val="29"/>
  </w:num>
  <w:num w:numId="38" w16cid:durableId="1650092227">
    <w:abstractNumId w:val="17"/>
  </w:num>
  <w:num w:numId="39" w16cid:durableId="545602194">
    <w:abstractNumId w:val="16"/>
  </w:num>
  <w:num w:numId="40" w16cid:durableId="254214962">
    <w:abstractNumId w:val="14"/>
  </w:num>
  <w:num w:numId="41" w16cid:durableId="878055606">
    <w:abstractNumId w:val="12"/>
  </w:num>
  <w:num w:numId="42" w16cid:durableId="197178352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D6"/>
    <w:rsid w:val="00000259"/>
    <w:rsid w:val="00000789"/>
    <w:rsid w:val="00000B81"/>
    <w:rsid w:val="00000BB4"/>
    <w:rsid w:val="0000377B"/>
    <w:rsid w:val="000044B5"/>
    <w:rsid w:val="000113E5"/>
    <w:rsid w:val="00013333"/>
    <w:rsid w:val="00020872"/>
    <w:rsid w:val="000208FA"/>
    <w:rsid w:val="00030F2A"/>
    <w:rsid w:val="00032C50"/>
    <w:rsid w:val="00036F86"/>
    <w:rsid w:val="00037431"/>
    <w:rsid w:val="0004019F"/>
    <w:rsid w:val="000413A5"/>
    <w:rsid w:val="00041400"/>
    <w:rsid w:val="00041D98"/>
    <w:rsid w:val="00044859"/>
    <w:rsid w:val="0004541A"/>
    <w:rsid w:val="00046A37"/>
    <w:rsid w:val="00054D6A"/>
    <w:rsid w:val="0005566F"/>
    <w:rsid w:val="00057774"/>
    <w:rsid w:val="0006437E"/>
    <w:rsid w:val="00065A96"/>
    <w:rsid w:val="00066AFA"/>
    <w:rsid w:val="0006759A"/>
    <w:rsid w:val="00067608"/>
    <w:rsid w:val="00073247"/>
    <w:rsid w:val="000734A2"/>
    <w:rsid w:val="000745CA"/>
    <w:rsid w:val="000748C3"/>
    <w:rsid w:val="00076D9B"/>
    <w:rsid w:val="00082064"/>
    <w:rsid w:val="00083667"/>
    <w:rsid w:val="00094DC3"/>
    <w:rsid w:val="00095388"/>
    <w:rsid w:val="00095E77"/>
    <w:rsid w:val="000A1356"/>
    <w:rsid w:val="000A445F"/>
    <w:rsid w:val="000A7844"/>
    <w:rsid w:val="000B28E9"/>
    <w:rsid w:val="000B3010"/>
    <w:rsid w:val="000B3825"/>
    <w:rsid w:val="000C2327"/>
    <w:rsid w:val="000C3432"/>
    <w:rsid w:val="000C4486"/>
    <w:rsid w:val="000C56B9"/>
    <w:rsid w:val="000C6D7C"/>
    <w:rsid w:val="000D0353"/>
    <w:rsid w:val="000D49C8"/>
    <w:rsid w:val="000E028E"/>
    <w:rsid w:val="000E0E4B"/>
    <w:rsid w:val="000E0EAC"/>
    <w:rsid w:val="000E1979"/>
    <w:rsid w:val="000E2DCD"/>
    <w:rsid w:val="000E38AE"/>
    <w:rsid w:val="000E5DB5"/>
    <w:rsid w:val="000E5E5F"/>
    <w:rsid w:val="000E730C"/>
    <w:rsid w:val="000F3CBE"/>
    <w:rsid w:val="000F3E00"/>
    <w:rsid w:val="000F3EB5"/>
    <w:rsid w:val="000F4463"/>
    <w:rsid w:val="000F66C5"/>
    <w:rsid w:val="00100609"/>
    <w:rsid w:val="0010209F"/>
    <w:rsid w:val="001026F1"/>
    <w:rsid w:val="00107638"/>
    <w:rsid w:val="00110524"/>
    <w:rsid w:val="00111987"/>
    <w:rsid w:val="00112886"/>
    <w:rsid w:val="0011466E"/>
    <w:rsid w:val="0012239B"/>
    <w:rsid w:val="00125F6C"/>
    <w:rsid w:val="0012773C"/>
    <w:rsid w:val="00132E34"/>
    <w:rsid w:val="00134DB7"/>
    <w:rsid w:val="00137E8B"/>
    <w:rsid w:val="00140702"/>
    <w:rsid w:val="001407E4"/>
    <w:rsid w:val="00141C3D"/>
    <w:rsid w:val="00144ACA"/>
    <w:rsid w:val="00145B3D"/>
    <w:rsid w:val="001508F7"/>
    <w:rsid w:val="00152768"/>
    <w:rsid w:val="00160132"/>
    <w:rsid w:val="00160D0D"/>
    <w:rsid w:val="001634E4"/>
    <w:rsid w:val="00163B1B"/>
    <w:rsid w:val="00166A0A"/>
    <w:rsid w:val="0016777F"/>
    <w:rsid w:val="001705AA"/>
    <w:rsid w:val="00171D28"/>
    <w:rsid w:val="001766C2"/>
    <w:rsid w:val="00183EFA"/>
    <w:rsid w:val="001920E0"/>
    <w:rsid w:val="001954F8"/>
    <w:rsid w:val="00197ACF"/>
    <w:rsid w:val="001A1244"/>
    <w:rsid w:val="001A27DA"/>
    <w:rsid w:val="001A549F"/>
    <w:rsid w:val="001B28F4"/>
    <w:rsid w:val="001B295E"/>
    <w:rsid w:val="001B5920"/>
    <w:rsid w:val="001C3931"/>
    <w:rsid w:val="001C41C7"/>
    <w:rsid w:val="001C5692"/>
    <w:rsid w:val="001C697F"/>
    <w:rsid w:val="001D53A6"/>
    <w:rsid w:val="001D7C65"/>
    <w:rsid w:val="001E28E4"/>
    <w:rsid w:val="001E344B"/>
    <w:rsid w:val="001E3696"/>
    <w:rsid w:val="001F559E"/>
    <w:rsid w:val="002074B0"/>
    <w:rsid w:val="0021570D"/>
    <w:rsid w:val="002202B1"/>
    <w:rsid w:val="00224051"/>
    <w:rsid w:val="00227190"/>
    <w:rsid w:val="002323EE"/>
    <w:rsid w:val="00234BC7"/>
    <w:rsid w:val="002368D6"/>
    <w:rsid w:val="00236922"/>
    <w:rsid w:val="00236B26"/>
    <w:rsid w:val="002371A1"/>
    <w:rsid w:val="002428E4"/>
    <w:rsid w:val="00242A8B"/>
    <w:rsid w:val="00243E54"/>
    <w:rsid w:val="00244C20"/>
    <w:rsid w:val="002507C1"/>
    <w:rsid w:val="002544DB"/>
    <w:rsid w:val="002551A8"/>
    <w:rsid w:val="002556BD"/>
    <w:rsid w:val="0026173A"/>
    <w:rsid w:val="0026334C"/>
    <w:rsid w:val="00264C8A"/>
    <w:rsid w:val="00266CD5"/>
    <w:rsid w:val="00267AC3"/>
    <w:rsid w:val="002732AA"/>
    <w:rsid w:val="00286BC5"/>
    <w:rsid w:val="00290B1C"/>
    <w:rsid w:val="002923AA"/>
    <w:rsid w:val="00292CE8"/>
    <w:rsid w:val="00294769"/>
    <w:rsid w:val="00297B85"/>
    <w:rsid w:val="002A1330"/>
    <w:rsid w:val="002A1492"/>
    <w:rsid w:val="002A552E"/>
    <w:rsid w:val="002A5D73"/>
    <w:rsid w:val="002A6A1D"/>
    <w:rsid w:val="002B1FED"/>
    <w:rsid w:val="002B3236"/>
    <w:rsid w:val="002B55B9"/>
    <w:rsid w:val="002B6E8D"/>
    <w:rsid w:val="002C0262"/>
    <w:rsid w:val="002C1971"/>
    <w:rsid w:val="002C3D82"/>
    <w:rsid w:val="002C4052"/>
    <w:rsid w:val="002C4AE6"/>
    <w:rsid w:val="002C4C84"/>
    <w:rsid w:val="002C50E2"/>
    <w:rsid w:val="002C6F84"/>
    <w:rsid w:val="002D5DC4"/>
    <w:rsid w:val="002D6333"/>
    <w:rsid w:val="002E0E82"/>
    <w:rsid w:val="002E1CA9"/>
    <w:rsid w:val="002E21B0"/>
    <w:rsid w:val="002E25B8"/>
    <w:rsid w:val="002E4614"/>
    <w:rsid w:val="002E53B7"/>
    <w:rsid w:val="002F2054"/>
    <w:rsid w:val="002F3D87"/>
    <w:rsid w:val="002F3E71"/>
    <w:rsid w:val="002F4D95"/>
    <w:rsid w:val="002F67D7"/>
    <w:rsid w:val="002F7370"/>
    <w:rsid w:val="003009C1"/>
    <w:rsid w:val="00303337"/>
    <w:rsid w:val="003043C4"/>
    <w:rsid w:val="003100EE"/>
    <w:rsid w:val="003143AE"/>
    <w:rsid w:val="00315267"/>
    <w:rsid w:val="00316A85"/>
    <w:rsid w:val="00316E87"/>
    <w:rsid w:val="00317B27"/>
    <w:rsid w:val="00320F38"/>
    <w:rsid w:val="003232D7"/>
    <w:rsid w:val="00325A42"/>
    <w:rsid w:val="00326D28"/>
    <w:rsid w:val="00336451"/>
    <w:rsid w:val="00337396"/>
    <w:rsid w:val="003409E2"/>
    <w:rsid w:val="00340AED"/>
    <w:rsid w:val="00340C84"/>
    <w:rsid w:val="0034121B"/>
    <w:rsid w:val="00342276"/>
    <w:rsid w:val="00344CD7"/>
    <w:rsid w:val="00344CDA"/>
    <w:rsid w:val="00346945"/>
    <w:rsid w:val="0034720F"/>
    <w:rsid w:val="00352DDD"/>
    <w:rsid w:val="0035327E"/>
    <w:rsid w:val="00354B14"/>
    <w:rsid w:val="00357FD5"/>
    <w:rsid w:val="00361067"/>
    <w:rsid w:val="00362616"/>
    <w:rsid w:val="003659BE"/>
    <w:rsid w:val="00367004"/>
    <w:rsid w:val="00367231"/>
    <w:rsid w:val="003771CC"/>
    <w:rsid w:val="003854A6"/>
    <w:rsid w:val="00387A1D"/>
    <w:rsid w:val="00390E9D"/>
    <w:rsid w:val="0039500E"/>
    <w:rsid w:val="00397849"/>
    <w:rsid w:val="003A3BC9"/>
    <w:rsid w:val="003A5EEF"/>
    <w:rsid w:val="003A62B7"/>
    <w:rsid w:val="003A751F"/>
    <w:rsid w:val="003B0946"/>
    <w:rsid w:val="003B69A7"/>
    <w:rsid w:val="003B6C2A"/>
    <w:rsid w:val="003C3626"/>
    <w:rsid w:val="003C3CA0"/>
    <w:rsid w:val="003C44A6"/>
    <w:rsid w:val="003C7E7E"/>
    <w:rsid w:val="003D0CF2"/>
    <w:rsid w:val="003D1C51"/>
    <w:rsid w:val="003D1E7F"/>
    <w:rsid w:val="003D4F83"/>
    <w:rsid w:val="003D535C"/>
    <w:rsid w:val="003D5EE0"/>
    <w:rsid w:val="003D6A90"/>
    <w:rsid w:val="003E5F86"/>
    <w:rsid w:val="003E7D91"/>
    <w:rsid w:val="003F09BA"/>
    <w:rsid w:val="003F30D7"/>
    <w:rsid w:val="003F670E"/>
    <w:rsid w:val="003F708B"/>
    <w:rsid w:val="003F7A11"/>
    <w:rsid w:val="00401510"/>
    <w:rsid w:val="004032F4"/>
    <w:rsid w:val="00404715"/>
    <w:rsid w:val="004052EA"/>
    <w:rsid w:val="00406362"/>
    <w:rsid w:val="00410719"/>
    <w:rsid w:val="0041194B"/>
    <w:rsid w:val="00412865"/>
    <w:rsid w:val="0041530B"/>
    <w:rsid w:val="00420337"/>
    <w:rsid w:val="004217CC"/>
    <w:rsid w:val="00423689"/>
    <w:rsid w:val="00423C69"/>
    <w:rsid w:val="004273B9"/>
    <w:rsid w:val="00427C26"/>
    <w:rsid w:val="00435939"/>
    <w:rsid w:val="00435A98"/>
    <w:rsid w:val="00435B93"/>
    <w:rsid w:val="00441B16"/>
    <w:rsid w:val="00442801"/>
    <w:rsid w:val="00444A46"/>
    <w:rsid w:val="004479CC"/>
    <w:rsid w:val="00450189"/>
    <w:rsid w:val="00451CEB"/>
    <w:rsid w:val="00455ED0"/>
    <w:rsid w:val="00460AA5"/>
    <w:rsid w:val="004617D1"/>
    <w:rsid w:val="00462E35"/>
    <w:rsid w:val="0046493B"/>
    <w:rsid w:val="00464FAF"/>
    <w:rsid w:val="0046581A"/>
    <w:rsid w:val="0046708E"/>
    <w:rsid w:val="004679FC"/>
    <w:rsid w:val="0047027E"/>
    <w:rsid w:val="00470AEA"/>
    <w:rsid w:val="004750FB"/>
    <w:rsid w:val="0047622C"/>
    <w:rsid w:val="00477DF3"/>
    <w:rsid w:val="00482F3F"/>
    <w:rsid w:val="00485154"/>
    <w:rsid w:val="00485851"/>
    <w:rsid w:val="00486D13"/>
    <w:rsid w:val="004910E0"/>
    <w:rsid w:val="004911DE"/>
    <w:rsid w:val="0049282F"/>
    <w:rsid w:val="00493ED0"/>
    <w:rsid w:val="00495385"/>
    <w:rsid w:val="004A1396"/>
    <w:rsid w:val="004A3B3A"/>
    <w:rsid w:val="004A5CDD"/>
    <w:rsid w:val="004A611B"/>
    <w:rsid w:val="004A7371"/>
    <w:rsid w:val="004B1C59"/>
    <w:rsid w:val="004B2D2A"/>
    <w:rsid w:val="004B5E92"/>
    <w:rsid w:val="004C1D4C"/>
    <w:rsid w:val="004C2717"/>
    <w:rsid w:val="004C66F1"/>
    <w:rsid w:val="004C7564"/>
    <w:rsid w:val="004D1A26"/>
    <w:rsid w:val="004D1D13"/>
    <w:rsid w:val="004D27E6"/>
    <w:rsid w:val="004D2B7C"/>
    <w:rsid w:val="004D6950"/>
    <w:rsid w:val="004D6F9F"/>
    <w:rsid w:val="004E0719"/>
    <w:rsid w:val="004E7941"/>
    <w:rsid w:val="004E79D4"/>
    <w:rsid w:val="004F0744"/>
    <w:rsid w:val="004F1A9C"/>
    <w:rsid w:val="005001BC"/>
    <w:rsid w:val="0050175E"/>
    <w:rsid w:val="005034D8"/>
    <w:rsid w:val="0050471B"/>
    <w:rsid w:val="005068AF"/>
    <w:rsid w:val="00506A87"/>
    <w:rsid w:val="00506CD4"/>
    <w:rsid w:val="00507A55"/>
    <w:rsid w:val="00510536"/>
    <w:rsid w:val="00511D70"/>
    <w:rsid w:val="00513A9E"/>
    <w:rsid w:val="00520325"/>
    <w:rsid w:val="00520F68"/>
    <w:rsid w:val="00521076"/>
    <w:rsid w:val="005210E9"/>
    <w:rsid w:val="0052139E"/>
    <w:rsid w:val="005234FF"/>
    <w:rsid w:val="005240BF"/>
    <w:rsid w:val="00524852"/>
    <w:rsid w:val="00524976"/>
    <w:rsid w:val="005321F0"/>
    <w:rsid w:val="00536FE1"/>
    <w:rsid w:val="00537130"/>
    <w:rsid w:val="00543D21"/>
    <w:rsid w:val="0054554E"/>
    <w:rsid w:val="005458CB"/>
    <w:rsid w:val="00547B3C"/>
    <w:rsid w:val="00547FD8"/>
    <w:rsid w:val="0055016F"/>
    <w:rsid w:val="00550B0C"/>
    <w:rsid w:val="00551850"/>
    <w:rsid w:val="005573AF"/>
    <w:rsid w:val="00560A37"/>
    <w:rsid w:val="00560B4D"/>
    <w:rsid w:val="00563E3B"/>
    <w:rsid w:val="00564026"/>
    <w:rsid w:val="005648CE"/>
    <w:rsid w:val="00564AEA"/>
    <w:rsid w:val="005659E7"/>
    <w:rsid w:val="0056713D"/>
    <w:rsid w:val="00567A80"/>
    <w:rsid w:val="005713AE"/>
    <w:rsid w:val="00573758"/>
    <w:rsid w:val="00574B32"/>
    <w:rsid w:val="005761FD"/>
    <w:rsid w:val="0057711D"/>
    <w:rsid w:val="00583E25"/>
    <w:rsid w:val="005848B3"/>
    <w:rsid w:val="0059036D"/>
    <w:rsid w:val="00591004"/>
    <w:rsid w:val="0059368C"/>
    <w:rsid w:val="00593AC6"/>
    <w:rsid w:val="00596E61"/>
    <w:rsid w:val="005A1D24"/>
    <w:rsid w:val="005A3C47"/>
    <w:rsid w:val="005A4CA6"/>
    <w:rsid w:val="005A5796"/>
    <w:rsid w:val="005A5CC3"/>
    <w:rsid w:val="005A6D49"/>
    <w:rsid w:val="005A7766"/>
    <w:rsid w:val="005B1CA2"/>
    <w:rsid w:val="005B2591"/>
    <w:rsid w:val="005B3C56"/>
    <w:rsid w:val="005B56DD"/>
    <w:rsid w:val="005B5AFB"/>
    <w:rsid w:val="005B6D2F"/>
    <w:rsid w:val="005B7944"/>
    <w:rsid w:val="005B7C8D"/>
    <w:rsid w:val="005C0B9E"/>
    <w:rsid w:val="005C25A1"/>
    <w:rsid w:val="005C4B3D"/>
    <w:rsid w:val="005D3679"/>
    <w:rsid w:val="005E052C"/>
    <w:rsid w:val="005E2327"/>
    <w:rsid w:val="005E2432"/>
    <w:rsid w:val="005E422C"/>
    <w:rsid w:val="005E7DFD"/>
    <w:rsid w:val="005F2557"/>
    <w:rsid w:val="005F25CD"/>
    <w:rsid w:val="005F3E45"/>
    <w:rsid w:val="005F6C33"/>
    <w:rsid w:val="005F725C"/>
    <w:rsid w:val="005F762C"/>
    <w:rsid w:val="00602100"/>
    <w:rsid w:val="00602A07"/>
    <w:rsid w:val="00605C01"/>
    <w:rsid w:val="00605EDF"/>
    <w:rsid w:val="00606880"/>
    <w:rsid w:val="00607297"/>
    <w:rsid w:val="00611FFF"/>
    <w:rsid w:val="0061302C"/>
    <w:rsid w:val="006150A9"/>
    <w:rsid w:val="00615F28"/>
    <w:rsid w:val="00615F6A"/>
    <w:rsid w:val="006218FE"/>
    <w:rsid w:val="006219B7"/>
    <w:rsid w:val="006259BC"/>
    <w:rsid w:val="00626822"/>
    <w:rsid w:val="006309D8"/>
    <w:rsid w:val="0063135F"/>
    <w:rsid w:val="006328B4"/>
    <w:rsid w:val="00632F2F"/>
    <w:rsid w:val="006352E0"/>
    <w:rsid w:val="00635693"/>
    <w:rsid w:val="00640526"/>
    <w:rsid w:val="0064234E"/>
    <w:rsid w:val="00643BB7"/>
    <w:rsid w:val="006445A4"/>
    <w:rsid w:val="0064478A"/>
    <w:rsid w:val="006510E8"/>
    <w:rsid w:val="006524AB"/>
    <w:rsid w:val="00653976"/>
    <w:rsid w:val="00654591"/>
    <w:rsid w:val="00660825"/>
    <w:rsid w:val="0066123A"/>
    <w:rsid w:val="006738F6"/>
    <w:rsid w:val="00674372"/>
    <w:rsid w:val="006776E8"/>
    <w:rsid w:val="006801D0"/>
    <w:rsid w:val="00682064"/>
    <w:rsid w:val="006840A6"/>
    <w:rsid w:val="006861EB"/>
    <w:rsid w:val="0068653D"/>
    <w:rsid w:val="00687511"/>
    <w:rsid w:val="006910BE"/>
    <w:rsid w:val="006A1052"/>
    <w:rsid w:val="006A306D"/>
    <w:rsid w:val="006A5B37"/>
    <w:rsid w:val="006A7C56"/>
    <w:rsid w:val="006B01BB"/>
    <w:rsid w:val="006B1A7F"/>
    <w:rsid w:val="006B1A94"/>
    <w:rsid w:val="006B6B4D"/>
    <w:rsid w:val="006C45DD"/>
    <w:rsid w:val="006D26EC"/>
    <w:rsid w:val="006D5775"/>
    <w:rsid w:val="006D63E0"/>
    <w:rsid w:val="006D79CF"/>
    <w:rsid w:val="006D7FFA"/>
    <w:rsid w:val="006E1AE3"/>
    <w:rsid w:val="006E2B04"/>
    <w:rsid w:val="006E2D1B"/>
    <w:rsid w:val="006E4598"/>
    <w:rsid w:val="006E4833"/>
    <w:rsid w:val="006E6C4F"/>
    <w:rsid w:val="006F0EED"/>
    <w:rsid w:val="006F1E9A"/>
    <w:rsid w:val="006F337C"/>
    <w:rsid w:val="006F3C9C"/>
    <w:rsid w:val="006F6759"/>
    <w:rsid w:val="006F6995"/>
    <w:rsid w:val="00702429"/>
    <w:rsid w:val="007057C0"/>
    <w:rsid w:val="00707234"/>
    <w:rsid w:val="00710103"/>
    <w:rsid w:val="00712A68"/>
    <w:rsid w:val="00717EE9"/>
    <w:rsid w:val="00721ED1"/>
    <w:rsid w:val="00722639"/>
    <w:rsid w:val="00723681"/>
    <w:rsid w:val="0072574F"/>
    <w:rsid w:val="00731011"/>
    <w:rsid w:val="007339D6"/>
    <w:rsid w:val="00735934"/>
    <w:rsid w:val="00735C46"/>
    <w:rsid w:val="00736711"/>
    <w:rsid w:val="007377F2"/>
    <w:rsid w:val="007405DB"/>
    <w:rsid w:val="00741781"/>
    <w:rsid w:val="00741C86"/>
    <w:rsid w:val="00744BEB"/>
    <w:rsid w:val="0074646B"/>
    <w:rsid w:val="00746963"/>
    <w:rsid w:val="00747AB1"/>
    <w:rsid w:val="007515BB"/>
    <w:rsid w:val="00751A27"/>
    <w:rsid w:val="0075304C"/>
    <w:rsid w:val="00753E98"/>
    <w:rsid w:val="00757360"/>
    <w:rsid w:val="007606F0"/>
    <w:rsid w:val="007720A9"/>
    <w:rsid w:val="00774CFD"/>
    <w:rsid w:val="007752CD"/>
    <w:rsid w:val="00775730"/>
    <w:rsid w:val="007773EC"/>
    <w:rsid w:val="007803BB"/>
    <w:rsid w:val="0078253F"/>
    <w:rsid w:val="0078774B"/>
    <w:rsid w:val="00787D5E"/>
    <w:rsid w:val="00790BFC"/>
    <w:rsid w:val="007912D4"/>
    <w:rsid w:val="00795008"/>
    <w:rsid w:val="007A0C83"/>
    <w:rsid w:val="007A1236"/>
    <w:rsid w:val="007A1CB5"/>
    <w:rsid w:val="007A3F1C"/>
    <w:rsid w:val="007A4F52"/>
    <w:rsid w:val="007B0B8A"/>
    <w:rsid w:val="007B2D35"/>
    <w:rsid w:val="007B50F0"/>
    <w:rsid w:val="007B5A50"/>
    <w:rsid w:val="007B6138"/>
    <w:rsid w:val="007C50E4"/>
    <w:rsid w:val="007C56E9"/>
    <w:rsid w:val="007C63C4"/>
    <w:rsid w:val="007D1E03"/>
    <w:rsid w:val="007D2836"/>
    <w:rsid w:val="007D7058"/>
    <w:rsid w:val="007E15DB"/>
    <w:rsid w:val="007E1AD6"/>
    <w:rsid w:val="007E3F82"/>
    <w:rsid w:val="007F0194"/>
    <w:rsid w:val="007F05C7"/>
    <w:rsid w:val="007F097F"/>
    <w:rsid w:val="007F1DFA"/>
    <w:rsid w:val="007F1FF2"/>
    <w:rsid w:val="007F2110"/>
    <w:rsid w:val="007F3D55"/>
    <w:rsid w:val="007F6ECE"/>
    <w:rsid w:val="007F7292"/>
    <w:rsid w:val="008004A2"/>
    <w:rsid w:val="008010FD"/>
    <w:rsid w:val="00802019"/>
    <w:rsid w:val="0080368A"/>
    <w:rsid w:val="008056DB"/>
    <w:rsid w:val="00807768"/>
    <w:rsid w:val="00811D89"/>
    <w:rsid w:val="00811DD8"/>
    <w:rsid w:val="0081291E"/>
    <w:rsid w:val="00817855"/>
    <w:rsid w:val="008178CE"/>
    <w:rsid w:val="00820119"/>
    <w:rsid w:val="00820E95"/>
    <w:rsid w:val="008228FC"/>
    <w:rsid w:val="0082379F"/>
    <w:rsid w:val="00823BEF"/>
    <w:rsid w:val="00830AF4"/>
    <w:rsid w:val="00832A2B"/>
    <w:rsid w:val="00833993"/>
    <w:rsid w:val="00837116"/>
    <w:rsid w:val="00844D90"/>
    <w:rsid w:val="00846C45"/>
    <w:rsid w:val="00847CD5"/>
    <w:rsid w:val="00847EED"/>
    <w:rsid w:val="00852719"/>
    <w:rsid w:val="00852E64"/>
    <w:rsid w:val="00854754"/>
    <w:rsid w:val="00855C0B"/>
    <w:rsid w:val="008574F8"/>
    <w:rsid w:val="008576E9"/>
    <w:rsid w:val="008614F6"/>
    <w:rsid w:val="008632B1"/>
    <w:rsid w:val="00863A89"/>
    <w:rsid w:val="00864D30"/>
    <w:rsid w:val="0086609F"/>
    <w:rsid w:val="0086698B"/>
    <w:rsid w:val="008670CC"/>
    <w:rsid w:val="00872583"/>
    <w:rsid w:val="00872A29"/>
    <w:rsid w:val="00875B75"/>
    <w:rsid w:val="00876C43"/>
    <w:rsid w:val="00877248"/>
    <w:rsid w:val="00885BD1"/>
    <w:rsid w:val="00885D0B"/>
    <w:rsid w:val="008863F4"/>
    <w:rsid w:val="00892A9C"/>
    <w:rsid w:val="00895C60"/>
    <w:rsid w:val="008967E8"/>
    <w:rsid w:val="00896E15"/>
    <w:rsid w:val="008A1B25"/>
    <w:rsid w:val="008A2D2C"/>
    <w:rsid w:val="008A37C7"/>
    <w:rsid w:val="008A3AB5"/>
    <w:rsid w:val="008A3BAE"/>
    <w:rsid w:val="008A453E"/>
    <w:rsid w:val="008A4EC6"/>
    <w:rsid w:val="008A5C22"/>
    <w:rsid w:val="008B0124"/>
    <w:rsid w:val="008B0EBB"/>
    <w:rsid w:val="008B289C"/>
    <w:rsid w:val="008B5389"/>
    <w:rsid w:val="008B60A8"/>
    <w:rsid w:val="008C328C"/>
    <w:rsid w:val="008C5255"/>
    <w:rsid w:val="008D1F65"/>
    <w:rsid w:val="008D2AE2"/>
    <w:rsid w:val="008D476D"/>
    <w:rsid w:val="008D4EC4"/>
    <w:rsid w:val="008D5398"/>
    <w:rsid w:val="008E30CD"/>
    <w:rsid w:val="008E498E"/>
    <w:rsid w:val="008E4AAD"/>
    <w:rsid w:val="008E56AD"/>
    <w:rsid w:val="008E7A6A"/>
    <w:rsid w:val="008F4B57"/>
    <w:rsid w:val="008F62CC"/>
    <w:rsid w:val="008F6887"/>
    <w:rsid w:val="00902334"/>
    <w:rsid w:val="0090409F"/>
    <w:rsid w:val="009065E7"/>
    <w:rsid w:val="00907E3F"/>
    <w:rsid w:val="0092144F"/>
    <w:rsid w:val="00922D19"/>
    <w:rsid w:val="009258CD"/>
    <w:rsid w:val="00926C21"/>
    <w:rsid w:val="00926C90"/>
    <w:rsid w:val="00932A68"/>
    <w:rsid w:val="009349E5"/>
    <w:rsid w:val="0093702E"/>
    <w:rsid w:val="00937999"/>
    <w:rsid w:val="009405D6"/>
    <w:rsid w:val="00941DDB"/>
    <w:rsid w:val="00942BD2"/>
    <w:rsid w:val="00943405"/>
    <w:rsid w:val="009521F4"/>
    <w:rsid w:val="00953AC7"/>
    <w:rsid w:val="00956002"/>
    <w:rsid w:val="00960135"/>
    <w:rsid w:val="00960166"/>
    <w:rsid w:val="00961274"/>
    <w:rsid w:val="00964A44"/>
    <w:rsid w:val="00967682"/>
    <w:rsid w:val="0096768F"/>
    <w:rsid w:val="009710ED"/>
    <w:rsid w:val="00971CC0"/>
    <w:rsid w:val="00971D23"/>
    <w:rsid w:val="0097216A"/>
    <w:rsid w:val="00975B47"/>
    <w:rsid w:val="009778FA"/>
    <w:rsid w:val="00983EBC"/>
    <w:rsid w:val="009860C7"/>
    <w:rsid w:val="00992245"/>
    <w:rsid w:val="00993606"/>
    <w:rsid w:val="00993CDF"/>
    <w:rsid w:val="00995DA4"/>
    <w:rsid w:val="00996E13"/>
    <w:rsid w:val="00997E66"/>
    <w:rsid w:val="009A04FC"/>
    <w:rsid w:val="009A1744"/>
    <w:rsid w:val="009A1D55"/>
    <w:rsid w:val="009A380C"/>
    <w:rsid w:val="009B236D"/>
    <w:rsid w:val="009B4E0F"/>
    <w:rsid w:val="009B6C6A"/>
    <w:rsid w:val="009C2242"/>
    <w:rsid w:val="009C43C3"/>
    <w:rsid w:val="009C52A2"/>
    <w:rsid w:val="009C72B6"/>
    <w:rsid w:val="009D455F"/>
    <w:rsid w:val="009E3B1E"/>
    <w:rsid w:val="009E75A5"/>
    <w:rsid w:val="009E7D7E"/>
    <w:rsid w:val="009F28B9"/>
    <w:rsid w:val="009F3B77"/>
    <w:rsid w:val="009F3C65"/>
    <w:rsid w:val="009F3F9D"/>
    <w:rsid w:val="009F49C5"/>
    <w:rsid w:val="009F4FD0"/>
    <w:rsid w:val="009F5D43"/>
    <w:rsid w:val="009F657A"/>
    <w:rsid w:val="009F7038"/>
    <w:rsid w:val="009F7451"/>
    <w:rsid w:val="00A05568"/>
    <w:rsid w:val="00A06B22"/>
    <w:rsid w:val="00A06D0B"/>
    <w:rsid w:val="00A10104"/>
    <w:rsid w:val="00A10FE3"/>
    <w:rsid w:val="00A11AC9"/>
    <w:rsid w:val="00A1236A"/>
    <w:rsid w:val="00A12C1F"/>
    <w:rsid w:val="00A14DBC"/>
    <w:rsid w:val="00A1746B"/>
    <w:rsid w:val="00A213D4"/>
    <w:rsid w:val="00A2145F"/>
    <w:rsid w:val="00A22404"/>
    <w:rsid w:val="00A24569"/>
    <w:rsid w:val="00A25F68"/>
    <w:rsid w:val="00A316DC"/>
    <w:rsid w:val="00A41597"/>
    <w:rsid w:val="00A43B8D"/>
    <w:rsid w:val="00A455CD"/>
    <w:rsid w:val="00A47715"/>
    <w:rsid w:val="00A50FC5"/>
    <w:rsid w:val="00A51F8A"/>
    <w:rsid w:val="00A52CD4"/>
    <w:rsid w:val="00A53E3B"/>
    <w:rsid w:val="00A548B7"/>
    <w:rsid w:val="00A57AEB"/>
    <w:rsid w:val="00A64060"/>
    <w:rsid w:val="00A65A8C"/>
    <w:rsid w:val="00A66E13"/>
    <w:rsid w:val="00A72E18"/>
    <w:rsid w:val="00A74F38"/>
    <w:rsid w:val="00A75FAE"/>
    <w:rsid w:val="00A76257"/>
    <w:rsid w:val="00A80F9C"/>
    <w:rsid w:val="00A817D8"/>
    <w:rsid w:val="00A828AF"/>
    <w:rsid w:val="00A85A65"/>
    <w:rsid w:val="00A85F29"/>
    <w:rsid w:val="00A914CB"/>
    <w:rsid w:val="00A915FB"/>
    <w:rsid w:val="00A926F4"/>
    <w:rsid w:val="00A9472E"/>
    <w:rsid w:val="00A95308"/>
    <w:rsid w:val="00AA0E55"/>
    <w:rsid w:val="00AA2741"/>
    <w:rsid w:val="00AA4032"/>
    <w:rsid w:val="00AA4D9B"/>
    <w:rsid w:val="00AB16B7"/>
    <w:rsid w:val="00AB1C46"/>
    <w:rsid w:val="00AB2AEC"/>
    <w:rsid w:val="00AB4294"/>
    <w:rsid w:val="00AB47F5"/>
    <w:rsid w:val="00AB4AE8"/>
    <w:rsid w:val="00AC14FB"/>
    <w:rsid w:val="00AC18A8"/>
    <w:rsid w:val="00AC19FC"/>
    <w:rsid w:val="00AC2D2D"/>
    <w:rsid w:val="00AC3C26"/>
    <w:rsid w:val="00AC6B3C"/>
    <w:rsid w:val="00AC71CB"/>
    <w:rsid w:val="00AC7630"/>
    <w:rsid w:val="00AD0CA6"/>
    <w:rsid w:val="00AD0FFC"/>
    <w:rsid w:val="00AD2E0F"/>
    <w:rsid w:val="00AD2F0B"/>
    <w:rsid w:val="00AD3F94"/>
    <w:rsid w:val="00AD46C0"/>
    <w:rsid w:val="00AD568B"/>
    <w:rsid w:val="00AD5C5D"/>
    <w:rsid w:val="00AD63AF"/>
    <w:rsid w:val="00AE1A27"/>
    <w:rsid w:val="00AE2AD6"/>
    <w:rsid w:val="00AE64C6"/>
    <w:rsid w:val="00AF550F"/>
    <w:rsid w:val="00B01ACD"/>
    <w:rsid w:val="00B0527F"/>
    <w:rsid w:val="00B052A7"/>
    <w:rsid w:val="00B067D1"/>
    <w:rsid w:val="00B079F9"/>
    <w:rsid w:val="00B101F0"/>
    <w:rsid w:val="00B20485"/>
    <w:rsid w:val="00B22D28"/>
    <w:rsid w:val="00B230FE"/>
    <w:rsid w:val="00B26CB9"/>
    <w:rsid w:val="00B27552"/>
    <w:rsid w:val="00B31A73"/>
    <w:rsid w:val="00B32D4C"/>
    <w:rsid w:val="00B32D92"/>
    <w:rsid w:val="00B42F93"/>
    <w:rsid w:val="00B43B1F"/>
    <w:rsid w:val="00B441E1"/>
    <w:rsid w:val="00B44312"/>
    <w:rsid w:val="00B445BF"/>
    <w:rsid w:val="00B44BF9"/>
    <w:rsid w:val="00B44D03"/>
    <w:rsid w:val="00B45F00"/>
    <w:rsid w:val="00B46648"/>
    <w:rsid w:val="00B47860"/>
    <w:rsid w:val="00B501C1"/>
    <w:rsid w:val="00B566E6"/>
    <w:rsid w:val="00B57240"/>
    <w:rsid w:val="00B60715"/>
    <w:rsid w:val="00B61160"/>
    <w:rsid w:val="00B6321B"/>
    <w:rsid w:val="00B73266"/>
    <w:rsid w:val="00B75F29"/>
    <w:rsid w:val="00B7618A"/>
    <w:rsid w:val="00B77EEE"/>
    <w:rsid w:val="00B80A93"/>
    <w:rsid w:val="00B814B2"/>
    <w:rsid w:val="00B82CCB"/>
    <w:rsid w:val="00B87058"/>
    <w:rsid w:val="00B909B6"/>
    <w:rsid w:val="00B912D1"/>
    <w:rsid w:val="00B936AA"/>
    <w:rsid w:val="00B93E5D"/>
    <w:rsid w:val="00B94CF5"/>
    <w:rsid w:val="00B94DDF"/>
    <w:rsid w:val="00B95BA9"/>
    <w:rsid w:val="00B962C5"/>
    <w:rsid w:val="00BA1581"/>
    <w:rsid w:val="00BA36AF"/>
    <w:rsid w:val="00BA61AE"/>
    <w:rsid w:val="00BA7B33"/>
    <w:rsid w:val="00BB1021"/>
    <w:rsid w:val="00BB14D7"/>
    <w:rsid w:val="00BB3A23"/>
    <w:rsid w:val="00BB4019"/>
    <w:rsid w:val="00BB6DBF"/>
    <w:rsid w:val="00BC08A0"/>
    <w:rsid w:val="00BC1378"/>
    <w:rsid w:val="00BC2B13"/>
    <w:rsid w:val="00BC2B8F"/>
    <w:rsid w:val="00BC475C"/>
    <w:rsid w:val="00BC72D0"/>
    <w:rsid w:val="00BC755A"/>
    <w:rsid w:val="00BD1390"/>
    <w:rsid w:val="00BD3DAE"/>
    <w:rsid w:val="00BD3E4C"/>
    <w:rsid w:val="00BD44CA"/>
    <w:rsid w:val="00BD4B6D"/>
    <w:rsid w:val="00BD6C82"/>
    <w:rsid w:val="00BE6169"/>
    <w:rsid w:val="00BF00EC"/>
    <w:rsid w:val="00BF1A8B"/>
    <w:rsid w:val="00BF1CAA"/>
    <w:rsid w:val="00C00937"/>
    <w:rsid w:val="00C00BD9"/>
    <w:rsid w:val="00C04033"/>
    <w:rsid w:val="00C077D2"/>
    <w:rsid w:val="00C079A9"/>
    <w:rsid w:val="00C07F89"/>
    <w:rsid w:val="00C1151A"/>
    <w:rsid w:val="00C11C02"/>
    <w:rsid w:val="00C130BF"/>
    <w:rsid w:val="00C147FC"/>
    <w:rsid w:val="00C1561B"/>
    <w:rsid w:val="00C1626C"/>
    <w:rsid w:val="00C16795"/>
    <w:rsid w:val="00C20B24"/>
    <w:rsid w:val="00C20F3A"/>
    <w:rsid w:val="00C23294"/>
    <w:rsid w:val="00C373B1"/>
    <w:rsid w:val="00C374AF"/>
    <w:rsid w:val="00C4002C"/>
    <w:rsid w:val="00C40D52"/>
    <w:rsid w:val="00C421C4"/>
    <w:rsid w:val="00C4342F"/>
    <w:rsid w:val="00C45EDD"/>
    <w:rsid w:val="00C45F75"/>
    <w:rsid w:val="00C5103C"/>
    <w:rsid w:val="00C51C0A"/>
    <w:rsid w:val="00C53A90"/>
    <w:rsid w:val="00C542FD"/>
    <w:rsid w:val="00C55DD2"/>
    <w:rsid w:val="00C57F92"/>
    <w:rsid w:val="00C61668"/>
    <w:rsid w:val="00C6372C"/>
    <w:rsid w:val="00C6412D"/>
    <w:rsid w:val="00C66042"/>
    <w:rsid w:val="00C66568"/>
    <w:rsid w:val="00C71204"/>
    <w:rsid w:val="00C72C40"/>
    <w:rsid w:val="00C73F56"/>
    <w:rsid w:val="00C747F3"/>
    <w:rsid w:val="00C75EC7"/>
    <w:rsid w:val="00C80EFC"/>
    <w:rsid w:val="00C83C89"/>
    <w:rsid w:val="00C85CA0"/>
    <w:rsid w:val="00C87E2C"/>
    <w:rsid w:val="00C900C7"/>
    <w:rsid w:val="00C9085B"/>
    <w:rsid w:val="00C91667"/>
    <w:rsid w:val="00C9202A"/>
    <w:rsid w:val="00C93012"/>
    <w:rsid w:val="00C9338D"/>
    <w:rsid w:val="00C9506B"/>
    <w:rsid w:val="00C96B2F"/>
    <w:rsid w:val="00CA1084"/>
    <w:rsid w:val="00CA22C9"/>
    <w:rsid w:val="00CA49E0"/>
    <w:rsid w:val="00CB1959"/>
    <w:rsid w:val="00CB427B"/>
    <w:rsid w:val="00CB4BCA"/>
    <w:rsid w:val="00CB4C36"/>
    <w:rsid w:val="00CB7AB4"/>
    <w:rsid w:val="00CC0992"/>
    <w:rsid w:val="00CC0EB2"/>
    <w:rsid w:val="00CC1394"/>
    <w:rsid w:val="00CC2DE6"/>
    <w:rsid w:val="00CC33BB"/>
    <w:rsid w:val="00CC5232"/>
    <w:rsid w:val="00CC709B"/>
    <w:rsid w:val="00CD05F7"/>
    <w:rsid w:val="00CD2434"/>
    <w:rsid w:val="00CD6AD0"/>
    <w:rsid w:val="00CD6DCA"/>
    <w:rsid w:val="00CD76C0"/>
    <w:rsid w:val="00CD7CC4"/>
    <w:rsid w:val="00CE40A1"/>
    <w:rsid w:val="00CE7BBD"/>
    <w:rsid w:val="00CF2AC8"/>
    <w:rsid w:val="00CF461F"/>
    <w:rsid w:val="00CF4777"/>
    <w:rsid w:val="00D01158"/>
    <w:rsid w:val="00D03451"/>
    <w:rsid w:val="00D04C68"/>
    <w:rsid w:val="00D04FC9"/>
    <w:rsid w:val="00D0758E"/>
    <w:rsid w:val="00D10174"/>
    <w:rsid w:val="00D10211"/>
    <w:rsid w:val="00D10E97"/>
    <w:rsid w:val="00D132E6"/>
    <w:rsid w:val="00D1480D"/>
    <w:rsid w:val="00D2018B"/>
    <w:rsid w:val="00D20641"/>
    <w:rsid w:val="00D21C85"/>
    <w:rsid w:val="00D232D2"/>
    <w:rsid w:val="00D23F36"/>
    <w:rsid w:val="00D245AD"/>
    <w:rsid w:val="00D267E5"/>
    <w:rsid w:val="00D30D20"/>
    <w:rsid w:val="00D317D8"/>
    <w:rsid w:val="00D33D29"/>
    <w:rsid w:val="00D37723"/>
    <w:rsid w:val="00D435D8"/>
    <w:rsid w:val="00D43CED"/>
    <w:rsid w:val="00D45EAD"/>
    <w:rsid w:val="00D45EBC"/>
    <w:rsid w:val="00D503FE"/>
    <w:rsid w:val="00D50FF4"/>
    <w:rsid w:val="00D52125"/>
    <w:rsid w:val="00D52E8C"/>
    <w:rsid w:val="00D54E85"/>
    <w:rsid w:val="00D60357"/>
    <w:rsid w:val="00D61608"/>
    <w:rsid w:val="00D63F95"/>
    <w:rsid w:val="00D665A8"/>
    <w:rsid w:val="00D667B4"/>
    <w:rsid w:val="00D70644"/>
    <w:rsid w:val="00D735B2"/>
    <w:rsid w:val="00D73BA8"/>
    <w:rsid w:val="00D76FA6"/>
    <w:rsid w:val="00D776F1"/>
    <w:rsid w:val="00D77A6E"/>
    <w:rsid w:val="00D827A1"/>
    <w:rsid w:val="00D84AE3"/>
    <w:rsid w:val="00D912CA"/>
    <w:rsid w:val="00D93EDE"/>
    <w:rsid w:val="00D96C01"/>
    <w:rsid w:val="00D96F91"/>
    <w:rsid w:val="00DA0C41"/>
    <w:rsid w:val="00DA1288"/>
    <w:rsid w:val="00DA30F6"/>
    <w:rsid w:val="00DA3136"/>
    <w:rsid w:val="00DA3C7C"/>
    <w:rsid w:val="00DA457D"/>
    <w:rsid w:val="00DA4B80"/>
    <w:rsid w:val="00DA74C6"/>
    <w:rsid w:val="00DB17FE"/>
    <w:rsid w:val="00DB5A70"/>
    <w:rsid w:val="00DB66E2"/>
    <w:rsid w:val="00DC0509"/>
    <w:rsid w:val="00DC1662"/>
    <w:rsid w:val="00DC2974"/>
    <w:rsid w:val="00DC2F86"/>
    <w:rsid w:val="00DD0BE8"/>
    <w:rsid w:val="00DD252C"/>
    <w:rsid w:val="00DD661B"/>
    <w:rsid w:val="00DD7B03"/>
    <w:rsid w:val="00DE0A90"/>
    <w:rsid w:val="00DE2DBC"/>
    <w:rsid w:val="00DE2EAF"/>
    <w:rsid w:val="00DE33C4"/>
    <w:rsid w:val="00DE39FA"/>
    <w:rsid w:val="00DE58B0"/>
    <w:rsid w:val="00DE5E7F"/>
    <w:rsid w:val="00DE763C"/>
    <w:rsid w:val="00DF005B"/>
    <w:rsid w:val="00DF319B"/>
    <w:rsid w:val="00DF3F70"/>
    <w:rsid w:val="00DF7171"/>
    <w:rsid w:val="00E01A3C"/>
    <w:rsid w:val="00E059E2"/>
    <w:rsid w:val="00E0631A"/>
    <w:rsid w:val="00E079A6"/>
    <w:rsid w:val="00E11D08"/>
    <w:rsid w:val="00E138C4"/>
    <w:rsid w:val="00E157A0"/>
    <w:rsid w:val="00E164C6"/>
    <w:rsid w:val="00E16FD3"/>
    <w:rsid w:val="00E174FA"/>
    <w:rsid w:val="00E17B55"/>
    <w:rsid w:val="00E23DBD"/>
    <w:rsid w:val="00E24B7B"/>
    <w:rsid w:val="00E31892"/>
    <w:rsid w:val="00E31BF8"/>
    <w:rsid w:val="00E32077"/>
    <w:rsid w:val="00E323EB"/>
    <w:rsid w:val="00E343BC"/>
    <w:rsid w:val="00E411F4"/>
    <w:rsid w:val="00E43E46"/>
    <w:rsid w:val="00E43FB0"/>
    <w:rsid w:val="00E440BC"/>
    <w:rsid w:val="00E4432B"/>
    <w:rsid w:val="00E44DF1"/>
    <w:rsid w:val="00E451CF"/>
    <w:rsid w:val="00E456FD"/>
    <w:rsid w:val="00E51F09"/>
    <w:rsid w:val="00E52812"/>
    <w:rsid w:val="00E52CC0"/>
    <w:rsid w:val="00E537F1"/>
    <w:rsid w:val="00E5604C"/>
    <w:rsid w:val="00E566AD"/>
    <w:rsid w:val="00E56C98"/>
    <w:rsid w:val="00E57354"/>
    <w:rsid w:val="00E63E4C"/>
    <w:rsid w:val="00E65DF5"/>
    <w:rsid w:val="00E6612A"/>
    <w:rsid w:val="00E6641C"/>
    <w:rsid w:val="00E70E4C"/>
    <w:rsid w:val="00E732DD"/>
    <w:rsid w:val="00E8003F"/>
    <w:rsid w:val="00E8153E"/>
    <w:rsid w:val="00E841C9"/>
    <w:rsid w:val="00E84E88"/>
    <w:rsid w:val="00E86DA1"/>
    <w:rsid w:val="00E87726"/>
    <w:rsid w:val="00E9466D"/>
    <w:rsid w:val="00E95455"/>
    <w:rsid w:val="00EA1E21"/>
    <w:rsid w:val="00EA72E6"/>
    <w:rsid w:val="00EA7C96"/>
    <w:rsid w:val="00EB3CC5"/>
    <w:rsid w:val="00EB438A"/>
    <w:rsid w:val="00EB58AA"/>
    <w:rsid w:val="00EB5DD4"/>
    <w:rsid w:val="00EC0508"/>
    <w:rsid w:val="00EC12B6"/>
    <w:rsid w:val="00EC37D5"/>
    <w:rsid w:val="00EC6A86"/>
    <w:rsid w:val="00EC6E94"/>
    <w:rsid w:val="00EC6EDE"/>
    <w:rsid w:val="00ED1560"/>
    <w:rsid w:val="00ED3134"/>
    <w:rsid w:val="00ED3FDE"/>
    <w:rsid w:val="00ED538A"/>
    <w:rsid w:val="00ED70F0"/>
    <w:rsid w:val="00EE0AD7"/>
    <w:rsid w:val="00EE50E4"/>
    <w:rsid w:val="00EE7BA2"/>
    <w:rsid w:val="00EF0B99"/>
    <w:rsid w:val="00EF29F3"/>
    <w:rsid w:val="00EF354D"/>
    <w:rsid w:val="00EF41CE"/>
    <w:rsid w:val="00EF4277"/>
    <w:rsid w:val="00EF58A4"/>
    <w:rsid w:val="00EF75F0"/>
    <w:rsid w:val="00F0113B"/>
    <w:rsid w:val="00F0188E"/>
    <w:rsid w:val="00F074D9"/>
    <w:rsid w:val="00F11331"/>
    <w:rsid w:val="00F11697"/>
    <w:rsid w:val="00F140C1"/>
    <w:rsid w:val="00F17518"/>
    <w:rsid w:val="00F20BD4"/>
    <w:rsid w:val="00F22A60"/>
    <w:rsid w:val="00F24567"/>
    <w:rsid w:val="00F27FFE"/>
    <w:rsid w:val="00F3042D"/>
    <w:rsid w:val="00F317AE"/>
    <w:rsid w:val="00F32D3D"/>
    <w:rsid w:val="00F36FD0"/>
    <w:rsid w:val="00F426D5"/>
    <w:rsid w:val="00F4395E"/>
    <w:rsid w:val="00F45C14"/>
    <w:rsid w:val="00F46727"/>
    <w:rsid w:val="00F47E2F"/>
    <w:rsid w:val="00F51A24"/>
    <w:rsid w:val="00F528E9"/>
    <w:rsid w:val="00F537D5"/>
    <w:rsid w:val="00F54813"/>
    <w:rsid w:val="00F64848"/>
    <w:rsid w:val="00F65FFE"/>
    <w:rsid w:val="00F677A8"/>
    <w:rsid w:val="00F70B32"/>
    <w:rsid w:val="00F73EDE"/>
    <w:rsid w:val="00F74447"/>
    <w:rsid w:val="00F7523B"/>
    <w:rsid w:val="00F7769E"/>
    <w:rsid w:val="00F82ED9"/>
    <w:rsid w:val="00F832D3"/>
    <w:rsid w:val="00F8497A"/>
    <w:rsid w:val="00F85380"/>
    <w:rsid w:val="00F928C4"/>
    <w:rsid w:val="00F93FD7"/>
    <w:rsid w:val="00F96B7E"/>
    <w:rsid w:val="00F97AA2"/>
    <w:rsid w:val="00FA6B8A"/>
    <w:rsid w:val="00FA7AB2"/>
    <w:rsid w:val="00FB1630"/>
    <w:rsid w:val="00FB19AE"/>
    <w:rsid w:val="00FB21D2"/>
    <w:rsid w:val="00FB355E"/>
    <w:rsid w:val="00FC0E30"/>
    <w:rsid w:val="00FC2D6F"/>
    <w:rsid w:val="00FC2FDD"/>
    <w:rsid w:val="00FC3A86"/>
    <w:rsid w:val="00FC602F"/>
    <w:rsid w:val="00FC7D8A"/>
    <w:rsid w:val="00FD401A"/>
    <w:rsid w:val="00FD574E"/>
    <w:rsid w:val="00FD7E3A"/>
    <w:rsid w:val="00FE0240"/>
    <w:rsid w:val="00FE3FA9"/>
    <w:rsid w:val="00FE6723"/>
    <w:rsid w:val="00FE772B"/>
    <w:rsid w:val="00FF5612"/>
    <w:rsid w:val="00FF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297"/>
  <w15:chartTrackingRefBased/>
  <w15:docId w15:val="{09F47D2F-5AD6-4D3D-8B1C-69B96A64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3E"/>
    <w:rPr>
      <w:rFonts w:ascii="Calibri" w:hAnsi="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7BBD"/>
    <w:rPr>
      <w:sz w:val="16"/>
      <w:szCs w:val="16"/>
    </w:rPr>
  </w:style>
  <w:style w:type="paragraph" w:styleId="CommentText">
    <w:name w:val="annotation text"/>
    <w:basedOn w:val="Normal"/>
    <w:link w:val="CommentTextChar"/>
    <w:uiPriority w:val="99"/>
    <w:unhideWhenUsed/>
    <w:rsid w:val="00CE7BBD"/>
    <w:rPr>
      <w:sz w:val="20"/>
      <w:szCs w:val="20"/>
    </w:rPr>
  </w:style>
  <w:style w:type="character" w:customStyle="1" w:styleId="CommentTextChar">
    <w:name w:val="Comment Text Char"/>
    <w:basedOn w:val="DefaultParagraphFont"/>
    <w:link w:val="CommentText"/>
    <w:uiPriority w:val="99"/>
    <w:rsid w:val="00CE7BB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7BBD"/>
    <w:rPr>
      <w:b/>
      <w:bCs/>
    </w:rPr>
  </w:style>
  <w:style w:type="character" w:customStyle="1" w:styleId="CommentSubjectChar">
    <w:name w:val="Comment Subject Char"/>
    <w:basedOn w:val="CommentTextChar"/>
    <w:link w:val="CommentSubject"/>
    <w:uiPriority w:val="99"/>
    <w:semiHidden/>
    <w:rsid w:val="00CE7BBD"/>
    <w:rPr>
      <w:rFonts w:ascii="Calibri" w:hAnsi="Calibri" w:cs="Times New Roman"/>
      <w:b/>
      <w:bCs/>
      <w:sz w:val="20"/>
      <w:szCs w:val="20"/>
    </w:rPr>
  </w:style>
  <w:style w:type="paragraph" w:styleId="BalloonText">
    <w:name w:val="Balloon Text"/>
    <w:basedOn w:val="Normal"/>
    <w:link w:val="BalloonTextChar"/>
    <w:uiPriority w:val="99"/>
    <w:semiHidden/>
    <w:unhideWhenUsed/>
    <w:rsid w:val="00CE7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BD"/>
    <w:rPr>
      <w:rFonts w:ascii="Segoe UI" w:hAnsi="Segoe UI" w:cs="Segoe UI"/>
      <w:sz w:val="18"/>
      <w:szCs w:val="18"/>
    </w:rPr>
  </w:style>
  <w:style w:type="character" w:styleId="Hyperlink">
    <w:name w:val="Hyperlink"/>
    <w:basedOn w:val="DefaultParagraphFont"/>
    <w:uiPriority w:val="99"/>
    <w:unhideWhenUsed/>
    <w:rsid w:val="00811DD8"/>
    <w:rPr>
      <w:color w:val="0563C1" w:themeColor="hyperlink"/>
      <w:u w:val="single"/>
    </w:rPr>
  </w:style>
  <w:style w:type="paragraph" w:styleId="Header">
    <w:name w:val="header"/>
    <w:basedOn w:val="Normal"/>
    <w:link w:val="HeaderChar"/>
    <w:uiPriority w:val="99"/>
    <w:unhideWhenUsed/>
    <w:rsid w:val="00DC2974"/>
    <w:pPr>
      <w:tabs>
        <w:tab w:val="center" w:pos="4680"/>
        <w:tab w:val="right" w:pos="9360"/>
      </w:tabs>
    </w:pPr>
  </w:style>
  <w:style w:type="character" w:customStyle="1" w:styleId="HeaderChar">
    <w:name w:val="Header Char"/>
    <w:basedOn w:val="DefaultParagraphFont"/>
    <w:link w:val="Header"/>
    <w:uiPriority w:val="99"/>
    <w:rsid w:val="00DC2974"/>
    <w:rPr>
      <w:rFonts w:ascii="Calibri" w:hAnsi="Calibri" w:cs="Times New Roman"/>
      <w:szCs w:val="22"/>
    </w:rPr>
  </w:style>
  <w:style w:type="paragraph" w:styleId="Footer">
    <w:name w:val="footer"/>
    <w:basedOn w:val="Normal"/>
    <w:link w:val="FooterChar"/>
    <w:uiPriority w:val="99"/>
    <w:unhideWhenUsed/>
    <w:rsid w:val="00DC2974"/>
    <w:pPr>
      <w:tabs>
        <w:tab w:val="center" w:pos="4680"/>
        <w:tab w:val="right" w:pos="9360"/>
      </w:tabs>
    </w:pPr>
  </w:style>
  <w:style w:type="character" w:customStyle="1" w:styleId="FooterChar">
    <w:name w:val="Footer Char"/>
    <w:basedOn w:val="DefaultParagraphFont"/>
    <w:link w:val="Footer"/>
    <w:uiPriority w:val="99"/>
    <w:rsid w:val="00DC2974"/>
    <w:rPr>
      <w:rFonts w:ascii="Calibri" w:hAnsi="Calibri" w:cs="Times New Roman"/>
      <w:szCs w:val="22"/>
    </w:rPr>
  </w:style>
  <w:style w:type="table" w:styleId="TableGrid">
    <w:name w:val="Table Grid"/>
    <w:basedOn w:val="TableNormal"/>
    <w:uiPriority w:val="39"/>
    <w:rsid w:val="00DC2974"/>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A07"/>
    <w:pPr>
      <w:ind w:left="720"/>
      <w:contextualSpacing/>
    </w:pPr>
  </w:style>
  <w:style w:type="paragraph" w:styleId="FootnoteText">
    <w:name w:val="footnote text"/>
    <w:basedOn w:val="Normal"/>
    <w:link w:val="FootnoteTextChar"/>
    <w:uiPriority w:val="99"/>
    <w:semiHidden/>
    <w:unhideWhenUsed/>
    <w:rsid w:val="009A1D55"/>
    <w:rPr>
      <w:sz w:val="20"/>
      <w:szCs w:val="20"/>
    </w:rPr>
  </w:style>
  <w:style w:type="character" w:customStyle="1" w:styleId="FootnoteTextChar">
    <w:name w:val="Footnote Text Char"/>
    <w:basedOn w:val="DefaultParagraphFont"/>
    <w:link w:val="FootnoteText"/>
    <w:uiPriority w:val="99"/>
    <w:semiHidden/>
    <w:rsid w:val="009A1D55"/>
    <w:rPr>
      <w:rFonts w:ascii="Calibri" w:hAnsi="Calibri" w:cs="Times New Roman"/>
      <w:sz w:val="20"/>
      <w:szCs w:val="20"/>
    </w:rPr>
  </w:style>
  <w:style w:type="character" w:styleId="FootnoteReference">
    <w:name w:val="footnote reference"/>
    <w:basedOn w:val="DefaultParagraphFont"/>
    <w:uiPriority w:val="99"/>
    <w:semiHidden/>
    <w:unhideWhenUsed/>
    <w:rsid w:val="009A1D55"/>
    <w:rPr>
      <w:vertAlign w:val="superscript"/>
    </w:rPr>
  </w:style>
  <w:style w:type="character" w:styleId="FollowedHyperlink">
    <w:name w:val="FollowedHyperlink"/>
    <w:basedOn w:val="DefaultParagraphFont"/>
    <w:uiPriority w:val="99"/>
    <w:semiHidden/>
    <w:unhideWhenUsed/>
    <w:rsid w:val="006F6759"/>
    <w:rPr>
      <w:color w:val="954F72" w:themeColor="followedHyperlink"/>
      <w:u w:val="single"/>
    </w:rPr>
  </w:style>
  <w:style w:type="character" w:styleId="UnresolvedMention">
    <w:name w:val="Unresolved Mention"/>
    <w:basedOn w:val="DefaultParagraphFont"/>
    <w:uiPriority w:val="99"/>
    <w:semiHidden/>
    <w:unhideWhenUsed/>
    <w:rsid w:val="00E323EB"/>
    <w:rPr>
      <w:color w:val="605E5C"/>
      <w:shd w:val="clear" w:color="auto" w:fill="E1DFDD"/>
    </w:rPr>
  </w:style>
  <w:style w:type="paragraph" w:customStyle="1" w:styleId="DecimalAligned">
    <w:name w:val="Decimal Aligned"/>
    <w:basedOn w:val="Normal"/>
    <w:uiPriority w:val="40"/>
    <w:qFormat/>
    <w:rsid w:val="008A453E"/>
    <w:pPr>
      <w:tabs>
        <w:tab w:val="decimal" w:pos="360"/>
      </w:tabs>
      <w:spacing w:after="200" w:line="276" w:lineRule="auto"/>
    </w:pPr>
    <w:rPr>
      <w:rFonts w:asciiTheme="minorHAnsi" w:eastAsiaTheme="minorEastAsia" w:hAnsiTheme="minorHAnsi"/>
    </w:rPr>
  </w:style>
  <w:style w:type="character" w:styleId="SubtleEmphasis">
    <w:name w:val="Subtle Emphasis"/>
    <w:basedOn w:val="DefaultParagraphFont"/>
    <w:uiPriority w:val="19"/>
    <w:qFormat/>
    <w:rsid w:val="008A453E"/>
    <w:rPr>
      <w:i/>
      <w:iCs/>
    </w:rPr>
  </w:style>
  <w:style w:type="table" w:styleId="LightShading-Accent1">
    <w:name w:val="Light Shading Accent 1"/>
    <w:basedOn w:val="TableNormal"/>
    <w:uiPriority w:val="60"/>
    <w:rsid w:val="008A453E"/>
    <w:rPr>
      <w:rFonts w:asciiTheme="minorHAnsi" w:eastAsiaTheme="minorEastAsia" w:hAnsiTheme="minorHAnsi" w:cstheme="minorBidi"/>
      <w:color w:val="2E74B5" w:themeColor="accent1" w:themeShade="BF"/>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378139">
      <w:bodyDiv w:val="1"/>
      <w:marLeft w:val="0"/>
      <w:marRight w:val="0"/>
      <w:marTop w:val="0"/>
      <w:marBottom w:val="0"/>
      <w:divBdr>
        <w:top w:val="none" w:sz="0" w:space="0" w:color="auto"/>
        <w:left w:val="none" w:sz="0" w:space="0" w:color="auto"/>
        <w:bottom w:val="none" w:sz="0" w:space="0" w:color="auto"/>
        <w:right w:val="none" w:sz="0" w:space="0" w:color="auto"/>
      </w:divBdr>
    </w:div>
    <w:div w:id="462698314">
      <w:bodyDiv w:val="1"/>
      <w:marLeft w:val="0"/>
      <w:marRight w:val="0"/>
      <w:marTop w:val="0"/>
      <w:marBottom w:val="0"/>
      <w:divBdr>
        <w:top w:val="none" w:sz="0" w:space="0" w:color="auto"/>
        <w:left w:val="none" w:sz="0" w:space="0" w:color="auto"/>
        <w:bottom w:val="none" w:sz="0" w:space="0" w:color="auto"/>
        <w:right w:val="none" w:sz="0" w:space="0" w:color="auto"/>
      </w:divBdr>
    </w:div>
    <w:div w:id="512768986">
      <w:bodyDiv w:val="1"/>
      <w:marLeft w:val="0"/>
      <w:marRight w:val="0"/>
      <w:marTop w:val="0"/>
      <w:marBottom w:val="0"/>
      <w:divBdr>
        <w:top w:val="none" w:sz="0" w:space="0" w:color="auto"/>
        <w:left w:val="none" w:sz="0" w:space="0" w:color="auto"/>
        <w:bottom w:val="none" w:sz="0" w:space="0" w:color="auto"/>
        <w:right w:val="none" w:sz="0" w:space="0" w:color="auto"/>
      </w:divBdr>
    </w:div>
    <w:div w:id="641467259">
      <w:bodyDiv w:val="1"/>
      <w:marLeft w:val="0"/>
      <w:marRight w:val="0"/>
      <w:marTop w:val="0"/>
      <w:marBottom w:val="0"/>
      <w:divBdr>
        <w:top w:val="none" w:sz="0" w:space="0" w:color="auto"/>
        <w:left w:val="none" w:sz="0" w:space="0" w:color="auto"/>
        <w:bottom w:val="none" w:sz="0" w:space="0" w:color="auto"/>
        <w:right w:val="none" w:sz="0" w:space="0" w:color="auto"/>
      </w:divBdr>
    </w:div>
    <w:div w:id="683939863">
      <w:bodyDiv w:val="1"/>
      <w:marLeft w:val="0"/>
      <w:marRight w:val="0"/>
      <w:marTop w:val="0"/>
      <w:marBottom w:val="0"/>
      <w:divBdr>
        <w:top w:val="none" w:sz="0" w:space="0" w:color="auto"/>
        <w:left w:val="none" w:sz="0" w:space="0" w:color="auto"/>
        <w:bottom w:val="none" w:sz="0" w:space="0" w:color="auto"/>
        <w:right w:val="none" w:sz="0" w:space="0" w:color="auto"/>
      </w:divBdr>
    </w:div>
    <w:div w:id="737244214">
      <w:bodyDiv w:val="1"/>
      <w:marLeft w:val="0"/>
      <w:marRight w:val="0"/>
      <w:marTop w:val="0"/>
      <w:marBottom w:val="0"/>
      <w:divBdr>
        <w:top w:val="none" w:sz="0" w:space="0" w:color="auto"/>
        <w:left w:val="none" w:sz="0" w:space="0" w:color="auto"/>
        <w:bottom w:val="none" w:sz="0" w:space="0" w:color="auto"/>
        <w:right w:val="none" w:sz="0" w:space="0" w:color="auto"/>
      </w:divBdr>
    </w:div>
    <w:div w:id="752513571">
      <w:bodyDiv w:val="1"/>
      <w:marLeft w:val="0"/>
      <w:marRight w:val="0"/>
      <w:marTop w:val="0"/>
      <w:marBottom w:val="0"/>
      <w:divBdr>
        <w:top w:val="none" w:sz="0" w:space="0" w:color="auto"/>
        <w:left w:val="none" w:sz="0" w:space="0" w:color="auto"/>
        <w:bottom w:val="none" w:sz="0" w:space="0" w:color="auto"/>
        <w:right w:val="none" w:sz="0" w:space="0" w:color="auto"/>
      </w:divBdr>
    </w:div>
    <w:div w:id="848786823">
      <w:bodyDiv w:val="1"/>
      <w:marLeft w:val="0"/>
      <w:marRight w:val="0"/>
      <w:marTop w:val="0"/>
      <w:marBottom w:val="0"/>
      <w:divBdr>
        <w:top w:val="none" w:sz="0" w:space="0" w:color="auto"/>
        <w:left w:val="none" w:sz="0" w:space="0" w:color="auto"/>
        <w:bottom w:val="none" w:sz="0" w:space="0" w:color="auto"/>
        <w:right w:val="none" w:sz="0" w:space="0" w:color="auto"/>
      </w:divBdr>
    </w:div>
    <w:div w:id="899753320">
      <w:bodyDiv w:val="1"/>
      <w:marLeft w:val="0"/>
      <w:marRight w:val="0"/>
      <w:marTop w:val="0"/>
      <w:marBottom w:val="0"/>
      <w:divBdr>
        <w:top w:val="none" w:sz="0" w:space="0" w:color="auto"/>
        <w:left w:val="none" w:sz="0" w:space="0" w:color="auto"/>
        <w:bottom w:val="none" w:sz="0" w:space="0" w:color="auto"/>
        <w:right w:val="none" w:sz="0" w:space="0" w:color="auto"/>
      </w:divBdr>
    </w:div>
    <w:div w:id="934938881">
      <w:bodyDiv w:val="1"/>
      <w:marLeft w:val="0"/>
      <w:marRight w:val="0"/>
      <w:marTop w:val="0"/>
      <w:marBottom w:val="0"/>
      <w:divBdr>
        <w:top w:val="none" w:sz="0" w:space="0" w:color="auto"/>
        <w:left w:val="none" w:sz="0" w:space="0" w:color="auto"/>
        <w:bottom w:val="none" w:sz="0" w:space="0" w:color="auto"/>
        <w:right w:val="none" w:sz="0" w:space="0" w:color="auto"/>
      </w:divBdr>
    </w:div>
    <w:div w:id="946935740">
      <w:bodyDiv w:val="1"/>
      <w:marLeft w:val="0"/>
      <w:marRight w:val="0"/>
      <w:marTop w:val="0"/>
      <w:marBottom w:val="0"/>
      <w:divBdr>
        <w:top w:val="none" w:sz="0" w:space="0" w:color="auto"/>
        <w:left w:val="none" w:sz="0" w:space="0" w:color="auto"/>
        <w:bottom w:val="none" w:sz="0" w:space="0" w:color="auto"/>
        <w:right w:val="none" w:sz="0" w:space="0" w:color="auto"/>
      </w:divBdr>
    </w:div>
    <w:div w:id="1012414932">
      <w:bodyDiv w:val="1"/>
      <w:marLeft w:val="0"/>
      <w:marRight w:val="0"/>
      <w:marTop w:val="0"/>
      <w:marBottom w:val="0"/>
      <w:divBdr>
        <w:top w:val="none" w:sz="0" w:space="0" w:color="auto"/>
        <w:left w:val="none" w:sz="0" w:space="0" w:color="auto"/>
        <w:bottom w:val="none" w:sz="0" w:space="0" w:color="auto"/>
        <w:right w:val="none" w:sz="0" w:space="0" w:color="auto"/>
      </w:divBdr>
    </w:div>
    <w:div w:id="1085687858">
      <w:bodyDiv w:val="1"/>
      <w:marLeft w:val="0"/>
      <w:marRight w:val="0"/>
      <w:marTop w:val="0"/>
      <w:marBottom w:val="0"/>
      <w:divBdr>
        <w:top w:val="none" w:sz="0" w:space="0" w:color="auto"/>
        <w:left w:val="none" w:sz="0" w:space="0" w:color="auto"/>
        <w:bottom w:val="none" w:sz="0" w:space="0" w:color="auto"/>
        <w:right w:val="none" w:sz="0" w:space="0" w:color="auto"/>
      </w:divBdr>
    </w:div>
    <w:div w:id="1200244430">
      <w:bodyDiv w:val="1"/>
      <w:marLeft w:val="0"/>
      <w:marRight w:val="0"/>
      <w:marTop w:val="0"/>
      <w:marBottom w:val="0"/>
      <w:divBdr>
        <w:top w:val="none" w:sz="0" w:space="0" w:color="auto"/>
        <w:left w:val="none" w:sz="0" w:space="0" w:color="auto"/>
        <w:bottom w:val="none" w:sz="0" w:space="0" w:color="auto"/>
        <w:right w:val="none" w:sz="0" w:space="0" w:color="auto"/>
      </w:divBdr>
    </w:div>
    <w:div w:id="1225261857">
      <w:bodyDiv w:val="1"/>
      <w:marLeft w:val="0"/>
      <w:marRight w:val="0"/>
      <w:marTop w:val="0"/>
      <w:marBottom w:val="0"/>
      <w:divBdr>
        <w:top w:val="none" w:sz="0" w:space="0" w:color="auto"/>
        <w:left w:val="none" w:sz="0" w:space="0" w:color="auto"/>
        <w:bottom w:val="none" w:sz="0" w:space="0" w:color="auto"/>
        <w:right w:val="none" w:sz="0" w:space="0" w:color="auto"/>
      </w:divBdr>
    </w:div>
    <w:div w:id="1258292794">
      <w:bodyDiv w:val="1"/>
      <w:marLeft w:val="0"/>
      <w:marRight w:val="0"/>
      <w:marTop w:val="0"/>
      <w:marBottom w:val="0"/>
      <w:divBdr>
        <w:top w:val="none" w:sz="0" w:space="0" w:color="auto"/>
        <w:left w:val="none" w:sz="0" w:space="0" w:color="auto"/>
        <w:bottom w:val="none" w:sz="0" w:space="0" w:color="auto"/>
        <w:right w:val="none" w:sz="0" w:space="0" w:color="auto"/>
      </w:divBdr>
    </w:div>
    <w:div w:id="1307392816">
      <w:bodyDiv w:val="1"/>
      <w:marLeft w:val="0"/>
      <w:marRight w:val="0"/>
      <w:marTop w:val="0"/>
      <w:marBottom w:val="0"/>
      <w:divBdr>
        <w:top w:val="none" w:sz="0" w:space="0" w:color="auto"/>
        <w:left w:val="none" w:sz="0" w:space="0" w:color="auto"/>
        <w:bottom w:val="none" w:sz="0" w:space="0" w:color="auto"/>
        <w:right w:val="none" w:sz="0" w:space="0" w:color="auto"/>
      </w:divBdr>
    </w:div>
    <w:div w:id="1331449019">
      <w:bodyDiv w:val="1"/>
      <w:marLeft w:val="0"/>
      <w:marRight w:val="0"/>
      <w:marTop w:val="0"/>
      <w:marBottom w:val="0"/>
      <w:divBdr>
        <w:top w:val="none" w:sz="0" w:space="0" w:color="auto"/>
        <w:left w:val="none" w:sz="0" w:space="0" w:color="auto"/>
        <w:bottom w:val="none" w:sz="0" w:space="0" w:color="auto"/>
        <w:right w:val="none" w:sz="0" w:space="0" w:color="auto"/>
      </w:divBdr>
    </w:div>
    <w:div w:id="1421022460">
      <w:bodyDiv w:val="1"/>
      <w:marLeft w:val="0"/>
      <w:marRight w:val="0"/>
      <w:marTop w:val="0"/>
      <w:marBottom w:val="0"/>
      <w:divBdr>
        <w:top w:val="none" w:sz="0" w:space="0" w:color="auto"/>
        <w:left w:val="none" w:sz="0" w:space="0" w:color="auto"/>
        <w:bottom w:val="none" w:sz="0" w:space="0" w:color="auto"/>
        <w:right w:val="none" w:sz="0" w:space="0" w:color="auto"/>
      </w:divBdr>
    </w:div>
    <w:div w:id="1496647336">
      <w:bodyDiv w:val="1"/>
      <w:marLeft w:val="0"/>
      <w:marRight w:val="0"/>
      <w:marTop w:val="0"/>
      <w:marBottom w:val="0"/>
      <w:divBdr>
        <w:top w:val="none" w:sz="0" w:space="0" w:color="auto"/>
        <w:left w:val="none" w:sz="0" w:space="0" w:color="auto"/>
        <w:bottom w:val="none" w:sz="0" w:space="0" w:color="auto"/>
        <w:right w:val="none" w:sz="0" w:space="0" w:color="auto"/>
      </w:divBdr>
    </w:div>
    <w:div w:id="1577744332">
      <w:bodyDiv w:val="1"/>
      <w:marLeft w:val="0"/>
      <w:marRight w:val="0"/>
      <w:marTop w:val="0"/>
      <w:marBottom w:val="0"/>
      <w:divBdr>
        <w:top w:val="none" w:sz="0" w:space="0" w:color="auto"/>
        <w:left w:val="none" w:sz="0" w:space="0" w:color="auto"/>
        <w:bottom w:val="none" w:sz="0" w:space="0" w:color="auto"/>
        <w:right w:val="none" w:sz="0" w:space="0" w:color="auto"/>
      </w:divBdr>
    </w:div>
    <w:div w:id="1684240751">
      <w:bodyDiv w:val="1"/>
      <w:marLeft w:val="0"/>
      <w:marRight w:val="0"/>
      <w:marTop w:val="0"/>
      <w:marBottom w:val="0"/>
      <w:divBdr>
        <w:top w:val="none" w:sz="0" w:space="0" w:color="auto"/>
        <w:left w:val="none" w:sz="0" w:space="0" w:color="auto"/>
        <w:bottom w:val="none" w:sz="0" w:space="0" w:color="auto"/>
        <w:right w:val="none" w:sz="0" w:space="0" w:color="auto"/>
      </w:divBdr>
    </w:div>
    <w:div w:id="1689257338">
      <w:bodyDiv w:val="1"/>
      <w:marLeft w:val="0"/>
      <w:marRight w:val="0"/>
      <w:marTop w:val="0"/>
      <w:marBottom w:val="0"/>
      <w:divBdr>
        <w:top w:val="none" w:sz="0" w:space="0" w:color="auto"/>
        <w:left w:val="none" w:sz="0" w:space="0" w:color="auto"/>
        <w:bottom w:val="none" w:sz="0" w:space="0" w:color="auto"/>
        <w:right w:val="none" w:sz="0" w:space="0" w:color="auto"/>
      </w:divBdr>
    </w:div>
    <w:div w:id="2129347117">
      <w:bodyDiv w:val="1"/>
      <w:marLeft w:val="0"/>
      <w:marRight w:val="0"/>
      <w:marTop w:val="0"/>
      <w:marBottom w:val="0"/>
      <w:divBdr>
        <w:top w:val="none" w:sz="0" w:space="0" w:color="auto"/>
        <w:left w:val="none" w:sz="0" w:space="0" w:color="auto"/>
        <w:bottom w:val="none" w:sz="0" w:space="0" w:color="auto"/>
        <w:right w:val="none" w:sz="0" w:space="0" w:color="auto"/>
      </w:divBdr>
    </w:div>
    <w:div w:id="21364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BEDBE-B554-4442-A045-ACEA17B5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Pages>
  <Words>1456</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Blaise.Lemke@ngaus.org</dc:creator>
  <cp:keywords/>
  <dc:description/>
  <cp:lastModifiedBy>Mikaila Flagg</cp:lastModifiedBy>
  <cp:revision>31</cp:revision>
  <cp:lastPrinted>2023-07-12T13:23:00Z</cp:lastPrinted>
  <dcterms:created xsi:type="dcterms:W3CDTF">2023-12-08T15:04:00Z</dcterms:created>
  <dcterms:modified xsi:type="dcterms:W3CDTF">2024-06-25T15:46:00Z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54a7b18262353e9b959269f0c40cc2b709cd3c8fb853b007fcdd20aab98e42c5</vt:lpwstr>
  </property>
</Properties>
</file>